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65" w:rsidRPr="008E1E65" w:rsidRDefault="008E1E65" w:rsidP="008E1E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6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Мобилизация институциональных, правовых и культурных ресурсов для обеспечения равенства между мужчинами и женщинами 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положению женщин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вторая сессия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— 7 марта 2008 года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3(a)(i) предварительной повестки дня</w:t>
      </w:r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деятельность по итогам четвертой Всемирной конференции по положению женщин и специальной сессии Генеральной Ассамблеи под названием «Женщины в 2000 году: равенство между мужчинами и женщинами, развитие и мир в XXI веке»:</w:t>
      </w: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стратегических целей и деятельность в важнейших проблемных областях и дальнейшие меры и инициативы: финансирование деятельности по обеспечению равенства между мужчинами и женщинами и расширению возможностей женщин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представленное Международным </w:t>
      </w:r>
      <w:r w:rsidR="00424086"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Сообществом</w:t>
      </w: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Бахаи — неправительственной организацией, имеющей консультативный статус при Экономическом и Социальном Совете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секретарь получил следующее заявление, которое распространяется в соответствии с пунктами 36 и 37 резолюции 1996/31 Экономического и Социального Совета.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 институциональных, правовых и культурных ресурсов для обеспечения равенства между мужчинами и женщинами</w:t>
      </w:r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роль, которую девушки и женщины играют в деле развития семей, общин и народов, четко определена: женщины выполняют функции первых воспитателей следующего поколения; их образование оказывает огромное воздействие на физическое, социальное и экономическое благосостояние семьи; их участие в экономической деятельности ведет к повышению производительности и обеспечивает экономический прогресс; их участие в общественной жизни способствует повышению эффективности управления и сокращению масштабов коррупции. Однако равенство между мужчинами и женщинами в полной мере еще не обеспечено ни в одной стране. Женщины несут прямые издержки, обусловленные их сохраняющимся неравенством, и развитие человеческого общества во всех аспектах затрудняется, поскольку половина населения мира не имеет возможности реализовать свой потенциал.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прошедшие несколько десятилетий были разработаны важнейшие документы, в которых сформулированы права женщин, содержится призыв покончить со всеми формами дискриминации в отношении женщин и излагаются стратегии обеспечения равенства между мужчинами и женщинами</w:t>
      </w:r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[i]</w:t>
      </w: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осуществления этих мер потребуется систематическое и, несомненно, глубокое переосмысление бюджетных приоритетов и процедур. Вместе с тем финансирование этих усилий является лишь частью проблемы. </w:t>
      </w: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отметило Международное </w:t>
      </w:r>
      <w:r w:rsidR="00424086"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</w:t>
      </w: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Бахаи  в своем заявлении на пятьдесят первой сессии в Комиссии по положению женщин, между правовым аппаратом и культурой все еще находится огромная пропасть — в виде ценностных представлений и институциональных норм, которые необходимы для обеспечения гендерного равенства</w:t>
      </w:r>
      <w:bookmarkStart w:id="0" w:name="_ednref3"/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[ii]</w:t>
      </w:r>
      <w:bookmarkEnd w:id="0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всеобъемлющий подход к финансированию деятельности по обеспечению равенства между мужчинами и женщинами в интересах устранения огромного числа препятствий культурного, институционального и правового характера, которые сдерживают настоятельно необходимый прогресс половины населения мира.</w:t>
      </w:r>
    </w:p>
    <w:p w:rsid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всего сказанного мы представляем на рассмотрение правительств три меры: a) утверждение долгосрочной стратегии для руководства краткосрочными и среднесрочными усилиями по финансированию деятельности по обеспечению равенства между мужчинами и женщинами; b) использование Конвенции о ликвидации всех форм дискриминации в отношении женщин (КЛДЖ) для оценки национальных бюджетов; и c) использование религиозных концепций и организаций.</w:t>
      </w:r>
    </w:p>
    <w:p w:rsidR="00424086" w:rsidRPr="008E1E65" w:rsidRDefault="00424086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Утверждение_долгосрочной_стратегии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долгосрочной стратегии</w:t>
      </w:r>
      <w:bookmarkEnd w:id="1"/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комплексной и эффективной концепции обеспечения гендерного равенства руководителям необходимо отказаться от модели деятельности, основанной преимущественно на преодолении кризисных ситуаций и принятии мер ретроактивного характера. Наряду с краткосрочными целями им необходимо разрабатывать политику с учетом долгосрочной перспективы, не будучи обремененными интеллектуальными рамками избирательных циклов. Чрезмерное уделение основного внимания краткосрочным целям нередко приводит к установлению минимальных стандартов, узкой ориентации и принятию компромиссных решений. Долгосрочная ориентация и планирование в расчете на одно, два или три поколения вперед позволят правительствам изучить более широкий спектр политических и программных вариантов и рассмотреть множество вкладов, включая вклады неправительственного, предпринимательского, научного и неформального секторов</w:t>
      </w:r>
      <w:bookmarkStart w:id="2" w:name="_ednref4"/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[iii]</w:t>
      </w:r>
      <w:bookmarkEnd w:id="2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компонентом долгосрочного подхода является консенсус относительно более широких целей в области развития и результатов, которых необходимо достичь. Правительствам необходимо будет формулировать цели обеспечения гендерного равенства в плане благосостояния общества в целом: его юношей, девушек, мужчин и женщин; его мира и безопасности, здравоохранения и благосостояния, экономического прогресса, устойчивого характера окружающей среды и его учреждений в области управления. Второй компонент долгосрочного подхода связан с определением прогресса, достигнутого в реализации провозглашенных целей. Даже в тех случаях, когда в той или иной стране учитываются гендерные аспекты, в ней нередко отсутствуют средства и системы контроля, необходимые для определения воздействия проводимой ею политики на положение девочек и женщин. В качестве таковой разработка показателей будет иметь существенно важное значение для определения эффективности инициатив в области финансирования. Учитывая многообразие национальных и местных условий, разработка единых универсальных показателей будет невозможна: каждый регион должен будет разработать средства, в наибольшей степени соответствующие его условиям. Международное </w:t>
      </w:r>
      <w:r w:rsidR="00424086"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</w:t>
      </w: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Бахаи намеревается принять участие в обсуждении этой важной инициативы.</w:t>
      </w:r>
    </w:p>
    <w:p w:rsidR="00424086" w:rsidRPr="008E1E65" w:rsidRDefault="00424086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Согласование_национальных_бюджетов_со_ст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национальных бюджетов со стандартами в области прав человека</w:t>
      </w:r>
      <w:bookmarkEnd w:id="3"/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вторая рекомендация правительствам связана с мерами по обеспечению согласованности между национальными бюджетами и международными стандартами в области прав человека. Будучи далеко не нейтральным в ценностном отношении, правительственный бюджет отражает ценности данной страны в зависимости от того, что он оценивает, чью работу он оценивает и деятельность кого он поощряет</w:t>
      </w:r>
      <w:bookmarkStart w:id="4" w:name="_ednref5"/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[iv]</w:t>
      </w:r>
      <w:bookmarkEnd w:id="4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Хотя бюджеты обычно не разрабатываются с учетом гендерной проблематики, распространение механизмов разработки бюджетов с учетом гендерного фактора свидетельствует о том, что эти «миры» постепенно сходятся друг с другом в рамках обеспечения соответствия между процессами разработки бюджетов и государственными обязательствами по Конвенции о ликвидации всех форм дискриминации в отношении женщин (КЛДОЖ). Этот вид гендерного анализа способствует выявлению проявлений гендерного неравенства в рамках бюджетных процессов, ассигнований и полученных результатов; и обеспечивает оценку ответственности государств за устранение этих проявлений неравенства</w:t>
      </w:r>
      <w:bookmarkStart w:id="5" w:name="_ednref6"/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[v]</w:t>
      </w:r>
      <w:bookmarkEnd w:id="5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для того, чтобы основанный на правах человека подход был эффективным, он должен обеспечивать учет не только женщин, но и всего их жизненного цикла — от рождения до детства и юности, — поскольку дискриминация проявляется и приобретает серьезный характер именно на этих ранних этапах.</w:t>
      </w:r>
    </w:p>
    <w:p w:rsid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Основанный на уважении прав человека подход не является беспрецедентным. В ряде стран достигнуты успехи в деле расширения политических прав женщин, увеличения их доли в составе трудовых ресурсов и обеспечения сбалансированности между трудовой деятельностью и семейной жизнью</w:t>
      </w:r>
      <w:bookmarkStart w:id="6" w:name="_ednref7"/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</w:t>
      </w:r>
      <w:r w:rsidRPr="008E1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i]</w:t>
      </w:r>
      <w:bookmarkEnd w:id="6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Правительства поступят правильным образом, если внимательным образом проанализируют практику тех стран, которые добились определенного успеха в деле решения этих якобы непреодолимых проблем. Норвегия, которая, по оценкам Программы развития Организации Объединенных Наций, занимает самое высокое место по гендерному индексу развития и показателю степени реализации прав женщин, может выступать в качестве полезного примера. Анализ эффективных гендерных стратегий, а также правовых, институциональных и культурных факторов, препятствующих принятию таких стратегий в других странах, будет способствовать разработке рекомендаций в отношении политики на основе конкретных примеров.</w:t>
      </w:r>
    </w:p>
    <w:p w:rsidR="00424086" w:rsidRPr="008E1E65" w:rsidRDefault="00424086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Учет_религии_и_участие_религиозных_лидер"/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религии и участие религиозных лидеров</w:t>
      </w:r>
      <w:bookmarkEnd w:id="8"/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директивных органов слишком часто проявляют нежелание обеспечивать учет культурных и религиозных аспектов в рамках подходов, определяющих отношение к женщинам, опасаясь связанной с такими подходами неопределенности или не имея информации о том, к кому обращаться и каким образом принимать меры. Однако обеспечение гендерного равенства было столь болезненно медленным процессом именно по той причине, что вопросы, касающиеся роли и ответственности женщин, затрагивают некоторые из наиболее укоренившихся представлений людей. Учитывая огромные возможности религии в плане воздействия на массы — в плане как возвышения, так и очернения, — правительства не могут позволить себе забывать об этом.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отсутствия постоянного диалога между правительствами и представителями религий процветает религиозный экстремизм. Пользуясь в различное время факторами нищеты, нестабильности, социально-экономических преобразований, сопровождающих процесс глобализации, и обеспечением доступа к информационным технологиям, радикальные религиозные деятели оказывают огромное воздействие на политику и </w:t>
      </w: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политическую деятельность государств. Это отрицательно сказывается, в частности на роли женщин в общественной жизни, свидетельством чего являются события в ряде районов мира, связанные с возращением к узким определениям места женщины в рамках семьи, общины и всего мира. Сокращение объема финансовых средств, выделяемых на обеспечение прав женщин, отчасти обусловлено этими социальными и культурными сдвигами. Положение еще более затрудняется тем, что многие государства продолжают ссылаться на оговорки культурного и религиозного характера к международным договорам, касающимся прав женщин. Сегодня — спустя почти 60 лет после принятия Всеобщей декларации прав человека и 26 лет после вступления в силу КЛДОЖ — правительства уже не могут игнорировать религиозную практику и учения, являющиеся вопиющим нарушением международных стандартов в области прав человека. Они должны стать предметом изучения и глубокого анализа.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 сложное положение, религиозные организации представляют собой некоторые из наиболее старых и широко разветвленных сетей мира. Во многих охваченных конфликтами странах они являются единственными сохранившимися институтами. В области здравоохранения, охраны окружающей среды, сокращения задолженности и оказания гуманитарной поддержки именно религиозные организации находятся на переднем плане реализации усилий, направленных на охват заброшенных районов и оказание воздействия на политику правительства. Кроме того, учитывая огромную роль религии и культуры в деле формирования представлений о роли женщин в обществе, необходимо обеспечивать эффективное участие религиозных организаций и верующих в принятии мер по содействию осуществлению программы действий в области обеспечения гендерного равенства. Хотя, на первый взгляд, язык финансов и экономики представляется несовместимым с языком этики и ценностей (общих для религий), как правительствам, так и религиозным организациям необходимо изучать аргументы и перспективы друг друга, признавая при этом, что они касаются одной и той же реальности. Создать справедливую экономическую систему невозможно без достижения согласия в отношении основополагающих ценностей; в отрыве от экономических условий этические понятия и ценностные представления на практике воплощены не буду.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утверждения долгосрочной стратегии, принятия мер по согласованию национальных бюджетов с обязательствами в области прав человека и подключения религиозных организаций правительства смогут мобилизовать институциональные, культурные и правовые ресурсы, которые будут способствовать осуществлению усилий по финансированию деятельности для обеспечения равенства между мужчинами и женщинами. Следует, однако, помнить о том, что улучшение положения женщин не является привилегией, техническим мероприятием или волшебным средством. Оно является частью более широкой деятельности по созданию упорядоченного общества, в котором отношения между мужчинами и женщинами, родителями и детьми, служащими и работодателями, руководителями и подчиненными основываются на принципах справедливости и выражают наивысшие чаяния человечества.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9" w:name="[i]"/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t>[i]</w:t>
      </w:r>
      <w:bookmarkEnd w:id="9"/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Конвенция о ликвидации всех форм дискриминации в отношении женщин, Пекинская платформа действий, резолюция 1325 Совета Безопасности по вопросу о женщинах, мире и безопасности, а также сформулированные в Декларации тысячелетия цели в области развития обеспечивают концепцию и конкретные планы действий.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0" w:name="[ii]"/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[ii]</w:t>
      </w:r>
      <w:bookmarkEnd w:id="10"/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Bahá’í </w:t>
      </w:r>
      <w:r w:rsidR="00424086" w:rsidRPr="0042408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International</w:t>
      </w:r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Community (2006). </w:t>
      </w:r>
      <w:r w:rsidRPr="008E1E65"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  <w:t xml:space="preserve">Beyond Legal Reforms: Culture and Capacity in the Eradication of Violence Against Women and Girls. </w:t>
      </w:r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t>New York.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1" w:name="[iii]"/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t>[iii]</w:t>
      </w:r>
      <w:bookmarkEnd w:id="11"/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Учитывая, что для завершения среднего образования отдельному человеку требуется приблизительно 17 лет, а для получения высшего образования — приблизительно 20 лет, то в рамках долгосрочной стратегии </w:t>
      </w:r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можно в более полном объеме учитывать и пытаться формировать ресурсы той или иной страны в области образования.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bookmarkStart w:id="12" w:name="[iv]"/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t>[iv]</w:t>
      </w:r>
      <w:bookmarkEnd w:id="12"/>
      <w:r w:rsidRPr="008E1E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Budlender, D. (ed.) (1996). </w:t>
      </w:r>
      <w:r w:rsidRPr="008E1E65"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  <w:t>The Women’s Budget</w:t>
      </w:r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, Institute for Democracy in South Africa (IDASA), Cape Town.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bookmarkStart w:id="13" w:name="[v]"/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[v]</w:t>
      </w:r>
      <w:bookmarkEnd w:id="13"/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Elson, Diane (2006). </w:t>
      </w:r>
      <w:r w:rsidRPr="008E1E65"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  <w:t>Budgeting of Women’s Rights: Monitoring Government Budgets for Compliance with CEDAW</w:t>
      </w:r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. United Nations Development Fund for Women (UNIFEM): New York.</w:t>
      </w:r>
    </w:p>
    <w:p w:rsidR="008E1E65" w:rsidRPr="008E1E65" w:rsidRDefault="008E1E65" w:rsidP="008E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bookmarkStart w:id="14" w:name="[vi]"/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[vi]</w:t>
      </w:r>
      <w:bookmarkEnd w:id="14"/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Hausmann, Ricardo, Laura D. Tyson, and Saadia Zahidi (2007). </w:t>
      </w:r>
      <w:r w:rsidRPr="008E1E65"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  <w:t>The Global Gender Gap Report 2007</w:t>
      </w:r>
      <w:r w:rsidRPr="008E1E6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. World Economic Forum: Davos, Switzerland.</w:t>
      </w:r>
    </w:p>
    <w:p w:rsidR="00F96D37" w:rsidRPr="008E1E65" w:rsidRDefault="00F96D37">
      <w:pPr>
        <w:rPr>
          <w:lang w:val="en-US"/>
        </w:rPr>
      </w:pPr>
    </w:p>
    <w:sectPr w:rsidR="00F96D37" w:rsidRPr="008E1E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5D" w:rsidRDefault="00054B5D" w:rsidP="00424086">
      <w:pPr>
        <w:spacing w:after="0" w:line="240" w:lineRule="auto"/>
      </w:pPr>
      <w:r>
        <w:separator/>
      </w:r>
    </w:p>
  </w:endnote>
  <w:endnote w:type="continuationSeparator" w:id="0">
    <w:p w:rsidR="00054B5D" w:rsidRDefault="00054B5D" w:rsidP="004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536235"/>
      <w:docPartObj>
        <w:docPartGallery w:val="Page Numbers (Bottom of Page)"/>
        <w:docPartUnique/>
      </w:docPartObj>
    </w:sdtPr>
    <w:sdtContent>
      <w:p w:rsidR="00424086" w:rsidRDefault="004240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24086" w:rsidRDefault="00424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5D" w:rsidRDefault="00054B5D" w:rsidP="00424086">
      <w:pPr>
        <w:spacing w:after="0" w:line="240" w:lineRule="auto"/>
      </w:pPr>
      <w:r>
        <w:separator/>
      </w:r>
    </w:p>
  </w:footnote>
  <w:footnote w:type="continuationSeparator" w:id="0">
    <w:p w:rsidR="00054B5D" w:rsidRDefault="00054B5D" w:rsidP="0042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5"/>
    <w:rsid w:val="00054B5D"/>
    <w:rsid w:val="00424086"/>
    <w:rsid w:val="008E1E65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7">
    <w:name w:val="style7"/>
    <w:basedOn w:val="a"/>
    <w:rsid w:val="008E1E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E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086"/>
  </w:style>
  <w:style w:type="paragraph" w:styleId="a7">
    <w:name w:val="footer"/>
    <w:basedOn w:val="a"/>
    <w:link w:val="a8"/>
    <w:uiPriority w:val="99"/>
    <w:unhideWhenUsed/>
    <w:rsid w:val="0042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7">
    <w:name w:val="style7"/>
    <w:basedOn w:val="a"/>
    <w:rsid w:val="008E1E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E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086"/>
  </w:style>
  <w:style w:type="paragraph" w:styleId="a7">
    <w:name w:val="footer"/>
    <w:basedOn w:val="a"/>
    <w:link w:val="a8"/>
    <w:uiPriority w:val="99"/>
    <w:unhideWhenUsed/>
    <w:rsid w:val="0042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Мобилизация институциональных, правовых и культурных ресурсов для обеспечения равенства между мужчинами и женщинами</dc:title>
  <dc:creator>МСБ</dc:creator>
  <cp:lastModifiedBy>Anton</cp:lastModifiedBy>
  <cp:revision>2</cp:revision>
  <dcterms:created xsi:type="dcterms:W3CDTF">2011-02-25T17:33:00Z</dcterms:created>
  <dcterms:modified xsi:type="dcterms:W3CDTF">2011-02-25T17:38:00Z</dcterms:modified>
</cp:coreProperties>
</file>