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14CE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Всемирный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Справедливости</w:t>
      </w:r>
    </w:p>
    <w:p w:rsidR="00000000" w:rsidRDefault="00FA14CE">
      <w:pPr>
        <w:jc w:val="center"/>
        <w:rPr>
          <w:sz w:val="24"/>
          <w:szCs w:val="24"/>
        </w:rPr>
      </w:pPr>
    </w:p>
    <w:p w:rsidR="00000000" w:rsidRDefault="00FA14CE">
      <w:pPr>
        <w:jc w:val="center"/>
      </w:pPr>
      <w:r>
        <w:t>Всемирный</w:t>
      </w:r>
      <w:r>
        <w:t xml:space="preserve"> </w:t>
      </w:r>
      <w:r>
        <w:t>Центр</w:t>
      </w:r>
      <w:r>
        <w:t xml:space="preserve"> </w:t>
      </w:r>
      <w:proofErr w:type="spellStart"/>
      <w:r>
        <w:t>Бахаи</w:t>
      </w:r>
      <w:proofErr w:type="spellEnd"/>
    </w:p>
    <w:p w:rsidR="00000000" w:rsidRDefault="00FA14CE">
      <w:pPr>
        <w:jc w:val="center"/>
      </w:pPr>
    </w:p>
    <w:p w:rsidR="00000000" w:rsidRDefault="00FA14CE">
      <w:pPr>
        <w:jc w:val="center"/>
      </w:pPr>
      <w:r>
        <w:t xml:space="preserve">5 </w:t>
      </w:r>
      <w:r>
        <w:t>марта</w:t>
      </w:r>
      <w:r>
        <w:t xml:space="preserve"> 1993 </w:t>
      </w:r>
      <w:r>
        <w:t>г</w:t>
      </w:r>
      <w:r>
        <w:t>.</w:t>
      </w:r>
    </w:p>
    <w:p w:rsidR="00000000" w:rsidRDefault="00FA14CE">
      <w:pPr>
        <w:jc w:val="center"/>
        <w:rPr>
          <w:sz w:val="24"/>
          <w:szCs w:val="24"/>
        </w:rPr>
      </w:pPr>
    </w:p>
    <w:p w:rsidR="00000000" w:rsidRDefault="00FA14CE">
      <w:pPr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бахаи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z w:val="24"/>
          <w:szCs w:val="24"/>
        </w:rPr>
        <w:t>.</w:t>
      </w:r>
    </w:p>
    <w:p w:rsidR="00000000" w:rsidRDefault="00FA14CE">
      <w:pPr>
        <w:rPr>
          <w:sz w:val="24"/>
          <w:szCs w:val="24"/>
        </w:rPr>
      </w:pPr>
    </w:p>
    <w:p w:rsidR="00000000" w:rsidRDefault="00FA14CE">
      <w:pPr>
        <w:rPr>
          <w:sz w:val="24"/>
          <w:szCs w:val="24"/>
        </w:rPr>
      </w:pPr>
      <w:r>
        <w:rPr>
          <w:sz w:val="24"/>
          <w:szCs w:val="24"/>
        </w:rPr>
        <w:t>Горячо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,</w:t>
      </w:r>
    </w:p>
    <w:p w:rsidR="00000000" w:rsidRDefault="00FA14CE">
      <w:pPr>
        <w:rPr>
          <w:sz w:val="24"/>
          <w:szCs w:val="24"/>
        </w:rPr>
      </w:pPr>
    </w:p>
    <w:p w:rsidR="00000000" w:rsidRDefault="00FA14CE" w:rsidP="004726AA">
      <w:pPr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сообщить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Китаб</w:t>
      </w:r>
      <w:r>
        <w:rPr>
          <w:sz w:val="24"/>
          <w:szCs w:val="24"/>
        </w:rPr>
        <w:t>-</w:t>
      </w:r>
      <w:r>
        <w:rPr>
          <w:sz w:val="24"/>
          <w:szCs w:val="24"/>
        </w:rPr>
        <w:t>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Агдас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Книга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описанная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Хранителем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возвышенными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эта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бесценная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сокровищница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навеки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сохранившая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самое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яркое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творение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ума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Бахауллы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Хартия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Мирового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Порядка</w:t>
      </w:r>
      <w:r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основное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вместилище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законов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Вестник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Завета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Центральный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Труд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содержащий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ряд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самых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благородных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увещеваний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самых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весомых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заявлений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многозначительных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пророчеств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явленная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гребне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постигших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бедствий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момент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когд</w:t>
      </w:r>
      <w:bookmarkStart w:id="0" w:name="_GoBack"/>
      <w:bookmarkEnd w:id="0"/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правители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Земли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явно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забыли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Нем</w:t>
      </w:r>
      <w:r>
        <w:rPr>
          <w:i/>
          <w:iCs/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эта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Наисвятая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снабженного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комментариями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Баха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Навруз</w:t>
      </w:r>
      <w:proofErr w:type="spellEnd"/>
      <w:r>
        <w:rPr>
          <w:sz w:val="24"/>
          <w:szCs w:val="24"/>
        </w:rPr>
        <w:t>.</w:t>
      </w:r>
    </w:p>
    <w:p w:rsidR="00000000" w:rsidRDefault="00FA14CE" w:rsidP="004726AA">
      <w:pPr>
        <w:jc w:val="both"/>
        <w:rPr>
          <w:sz w:val="24"/>
          <w:szCs w:val="24"/>
        </w:rPr>
      </w:pP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Бахаулла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Книгу</w:t>
      </w:r>
      <w:r>
        <w:rPr>
          <w:sz w:val="24"/>
          <w:szCs w:val="24"/>
        </w:rPr>
        <w:t xml:space="preserve"> —</w:t>
      </w:r>
      <w:r w:rsidR="004726AA">
        <w:rPr>
          <w:rFonts w:asciiTheme="minorHAnsi" w:hAnsiTheme="minorHAnsi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Непогрешимые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Весы</w:t>
      </w:r>
      <w:r>
        <w:rPr>
          <w:i/>
          <w:iCs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Прямая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Стезя</w:t>
      </w:r>
      <w:r>
        <w:rPr>
          <w:i/>
          <w:iCs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животворящее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начало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для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человечеств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», «</w:t>
      </w:r>
      <w:r>
        <w:rPr>
          <w:i/>
          <w:iCs/>
          <w:sz w:val="24"/>
          <w:szCs w:val="24"/>
        </w:rPr>
        <w:t>источник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подлинного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блаженства</w:t>
      </w:r>
      <w:r>
        <w:rPr>
          <w:i/>
          <w:iCs/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указывает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феноменальную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важность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потрясающую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Шоги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Эффенди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главное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вместилище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предвосхищенного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Пророком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создателем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Апокалипсиса</w:t>
      </w:r>
      <w:r>
        <w:rPr>
          <w:sz w:val="24"/>
          <w:szCs w:val="24"/>
        </w:rPr>
        <w:t xml:space="preserve"> “</w:t>
      </w:r>
      <w:r>
        <w:rPr>
          <w:i/>
          <w:iCs/>
          <w:sz w:val="24"/>
          <w:szCs w:val="24"/>
        </w:rPr>
        <w:t>новыми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небесами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новой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землей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>, “</w:t>
      </w:r>
      <w:r>
        <w:rPr>
          <w:i/>
          <w:iCs/>
          <w:sz w:val="24"/>
          <w:szCs w:val="24"/>
        </w:rPr>
        <w:t>Скинией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Бога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Святым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Градом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Невестой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>, “</w:t>
      </w:r>
      <w:r>
        <w:rPr>
          <w:i/>
          <w:iCs/>
          <w:sz w:val="24"/>
          <w:szCs w:val="24"/>
        </w:rPr>
        <w:t>Новым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Иерусалимом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нисходящим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Бога</w:t>
      </w:r>
      <w:r>
        <w:rPr>
          <w:i/>
          <w:iCs/>
          <w:sz w:val="24"/>
          <w:szCs w:val="24"/>
        </w:rPr>
        <w:t xml:space="preserve">”.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метафоры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воспламенял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возбуждали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бесчисленных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поколений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Обетованный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Книге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зримую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z w:val="24"/>
          <w:szCs w:val="24"/>
        </w:rPr>
        <w:t>.</w:t>
      </w:r>
    </w:p>
    <w:p w:rsidR="00000000" w:rsidRDefault="00FA14CE" w:rsidP="004726AA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Публикация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английском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Шестилетнего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событие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предвидения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Абдул</w:t>
      </w:r>
      <w:r>
        <w:rPr>
          <w:sz w:val="24"/>
          <w:szCs w:val="24"/>
        </w:rPr>
        <w:t>-</w:t>
      </w:r>
      <w:r>
        <w:rPr>
          <w:sz w:val="24"/>
          <w:szCs w:val="24"/>
        </w:rPr>
        <w:t>Баха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воплощает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намерение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Шоги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Эффенди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английский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значительную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распространяя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компиляции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Бахауллы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инициировал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1955 </w:t>
      </w:r>
      <w:r>
        <w:rPr>
          <w:sz w:val="24"/>
          <w:szCs w:val="24"/>
        </w:rPr>
        <w:t>году</w:t>
      </w:r>
      <w:r>
        <w:rPr>
          <w:sz w:val="24"/>
          <w:szCs w:val="24"/>
        </w:rPr>
        <w:t>, «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публикацией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z w:val="24"/>
          <w:szCs w:val="24"/>
        </w:rPr>
        <w:t xml:space="preserve">», </w:t>
      </w:r>
      <w:r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Обзора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Китаб</w:t>
      </w:r>
      <w:r>
        <w:rPr>
          <w:sz w:val="24"/>
          <w:szCs w:val="24"/>
        </w:rPr>
        <w:t>-</w:t>
      </w:r>
      <w:r>
        <w:rPr>
          <w:sz w:val="24"/>
          <w:szCs w:val="24"/>
        </w:rPr>
        <w:t>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Агдас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</w:t>
      </w:r>
      <w:r>
        <w:rPr>
          <w:sz w:val="24"/>
          <w:szCs w:val="24"/>
        </w:rPr>
        <w:t>винулся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завершена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Всемирным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Справедливости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1973 </w:t>
      </w:r>
      <w:r>
        <w:rPr>
          <w:sz w:val="24"/>
          <w:szCs w:val="24"/>
        </w:rPr>
        <w:t>году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столетия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произошло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Шоги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Эффенди</w:t>
      </w:r>
      <w:r>
        <w:rPr>
          <w:sz w:val="24"/>
          <w:szCs w:val="24"/>
        </w:rPr>
        <w:t>, «</w:t>
      </w:r>
      <w:r>
        <w:rPr>
          <w:sz w:val="24"/>
          <w:szCs w:val="24"/>
        </w:rPr>
        <w:t>вскоре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Бахаулла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переведен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Хаммара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около</w:t>
      </w:r>
      <w:r>
        <w:rPr>
          <w:sz w:val="24"/>
          <w:szCs w:val="24"/>
        </w:rPr>
        <w:t xml:space="preserve"> 1873 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прежнему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преследовали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невзгоды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причиной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недругов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выдавал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приверженцев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Веры</w:t>
      </w:r>
      <w:r>
        <w:rPr>
          <w:sz w:val="24"/>
          <w:szCs w:val="24"/>
        </w:rPr>
        <w:t>».</w:t>
      </w:r>
    </w:p>
    <w:p w:rsidR="00000000" w:rsidRDefault="00FA14CE" w:rsidP="004726AA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Доступность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Китаб</w:t>
      </w:r>
      <w:r>
        <w:rPr>
          <w:sz w:val="24"/>
          <w:szCs w:val="24"/>
        </w:rPr>
        <w:t>-</w:t>
      </w:r>
      <w:r>
        <w:rPr>
          <w:sz w:val="24"/>
          <w:szCs w:val="24"/>
        </w:rPr>
        <w:t>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Агдас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западных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впервые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переведенного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необозримо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сферу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широко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распахивая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общины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несомненно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мощное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преображающее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воздействие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Появление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драгоценного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невообразимо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могущественного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английском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неразберихи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разладе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уверенности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мирное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цивилизованное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глобальное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непременно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событие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произошло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столетия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Вознесения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Божественного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вступления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усиливает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ощущаемый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эффект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юбилей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ознаменован</w:t>
      </w:r>
      <w:r>
        <w:rPr>
          <w:sz w:val="24"/>
          <w:szCs w:val="24"/>
        </w:rPr>
        <w:t>.</w:t>
      </w:r>
    </w:p>
    <w:p w:rsidR="00000000" w:rsidRDefault="00FA14CE" w:rsidP="004726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Книга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величественной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символом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непревзойденного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Откровения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Бахауллы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напоминанием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уважении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которо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подобает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гениального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несущего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истину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Пусть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возвышенном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священных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пусть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лелеют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словно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хлеб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пусть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считают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священ</w:t>
      </w:r>
      <w:r>
        <w:rPr>
          <w:sz w:val="24"/>
          <w:szCs w:val="24"/>
        </w:rPr>
        <w:t>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честью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бесценным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наследием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наделило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Всевышнего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источником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величайшей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творениям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пусть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всецело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доверятся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установлениям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читают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изучают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прочно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держатся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увещевания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самым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преображают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приводя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Божественными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стандартами</w:t>
      </w:r>
      <w:r>
        <w:rPr>
          <w:sz w:val="24"/>
          <w:szCs w:val="24"/>
        </w:rPr>
        <w:t>.</w:t>
      </w:r>
    </w:p>
    <w:p w:rsidR="00000000" w:rsidRDefault="00FA14CE" w:rsidP="004726AA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Давайте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ликовать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Давайте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исполнимся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выраженном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Благословенная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провозгласил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Матерь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Книгу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Завета</w:t>
      </w:r>
      <w:r>
        <w:rPr>
          <w:sz w:val="24"/>
          <w:szCs w:val="24"/>
        </w:rPr>
        <w:t>: «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возвещаем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явленном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Нами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Наисвятой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Книге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Книге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небосклона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дневная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звезда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заповедей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изливает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зрящего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зримого</w:t>
      </w:r>
      <w:r>
        <w:rPr>
          <w:sz w:val="24"/>
          <w:szCs w:val="24"/>
        </w:rPr>
        <w:t xml:space="preserve">».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отстаивает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726AA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удостоиться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обещанного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</w:t>
      </w:r>
      <w:r>
        <w:rPr>
          <w:sz w:val="24"/>
          <w:szCs w:val="24"/>
        </w:rPr>
        <w:t>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благословения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Блаженны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вчитывающиеся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нее</w:t>
      </w:r>
      <w:r>
        <w:rPr>
          <w:i/>
          <w:iCs/>
          <w:sz w:val="24"/>
          <w:szCs w:val="24"/>
        </w:rPr>
        <w:t xml:space="preserve">! </w:t>
      </w:r>
      <w:r>
        <w:rPr>
          <w:i/>
          <w:iCs/>
          <w:sz w:val="24"/>
          <w:szCs w:val="24"/>
        </w:rPr>
        <w:t>Блаженны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постигающие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ее</w:t>
      </w:r>
      <w:r>
        <w:rPr>
          <w:i/>
          <w:iCs/>
          <w:sz w:val="24"/>
          <w:szCs w:val="24"/>
        </w:rPr>
        <w:t xml:space="preserve">! </w:t>
      </w:r>
      <w:r>
        <w:rPr>
          <w:i/>
          <w:iCs/>
          <w:sz w:val="24"/>
          <w:szCs w:val="24"/>
        </w:rPr>
        <w:t>Блаженны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размышляющие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нею</w:t>
      </w:r>
      <w:r>
        <w:rPr>
          <w:i/>
          <w:iCs/>
          <w:sz w:val="24"/>
          <w:szCs w:val="24"/>
        </w:rPr>
        <w:t xml:space="preserve">! </w:t>
      </w:r>
      <w:r>
        <w:rPr>
          <w:i/>
          <w:iCs/>
          <w:sz w:val="24"/>
          <w:szCs w:val="24"/>
        </w:rPr>
        <w:t>Блаженны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проникающие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смысл</w:t>
      </w:r>
      <w:r>
        <w:rPr>
          <w:i/>
          <w:iCs/>
          <w:sz w:val="24"/>
          <w:szCs w:val="24"/>
        </w:rPr>
        <w:t xml:space="preserve">! </w:t>
      </w:r>
      <w:r>
        <w:rPr>
          <w:i/>
          <w:iCs/>
          <w:sz w:val="24"/>
          <w:szCs w:val="24"/>
        </w:rPr>
        <w:t>Столь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велика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она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своему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размаху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что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объяла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всех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людей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прежде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они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признали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ее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Близок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час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когда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суверен</w:t>
      </w:r>
      <w:r>
        <w:rPr>
          <w:i/>
          <w:iCs/>
          <w:sz w:val="24"/>
          <w:szCs w:val="24"/>
        </w:rPr>
        <w:t>ная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власть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всепроницающее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влияние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величие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мощи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будут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явлены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земле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Воистину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Господь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твой</w:t>
      </w:r>
      <w:r>
        <w:rPr>
          <w:i/>
          <w:iCs/>
          <w:sz w:val="24"/>
          <w:szCs w:val="24"/>
        </w:rPr>
        <w:t xml:space="preserve"> — </w:t>
      </w:r>
      <w:r>
        <w:rPr>
          <w:i/>
          <w:iCs/>
          <w:sz w:val="24"/>
          <w:szCs w:val="24"/>
        </w:rPr>
        <w:t>Всезнающий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Всеведущий</w:t>
      </w:r>
      <w:r>
        <w:rPr>
          <w:i/>
          <w:iCs/>
          <w:sz w:val="24"/>
          <w:szCs w:val="24"/>
        </w:rPr>
        <w:t>.»</w:t>
      </w:r>
    </w:p>
    <w:p w:rsidR="00FA14CE" w:rsidRDefault="00FA14CE">
      <w:pPr>
        <w:jc w:val="right"/>
        <w:rPr>
          <w:sz w:val="24"/>
          <w:szCs w:val="24"/>
        </w:rPr>
      </w:pPr>
      <w:r>
        <w:rPr>
          <w:sz w:val="24"/>
          <w:szCs w:val="24"/>
        </w:rPr>
        <w:t>Всемирный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Справедливости</w:t>
      </w:r>
    </w:p>
    <w:sectPr w:rsidR="00FA1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CE" w:rsidRDefault="00FA14CE" w:rsidP="001F2CD1">
      <w:r>
        <w:separator/>
      </w:r>
    </w:p>
  </w:endnote>
  <w:endnote w:type="continuationSeparator" w:id="0">
    <w:p w:rsidR="00FA14CE" w:rsidRDefault="00FA14CE" w:rsidP="001F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1" w:rsidRDefault="001F2CD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1" w:rsidRDefault="001F2CD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1" w:rsidRDefault="001F2C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CE" w:rsidRDefault="00FA14CE" w:rsidP="001F2CD1">
      <w:r>
        <w:separator/>
      </w:r>
    </w:p>
  </w:footnote>
  <w:footnote w:type="continuationSeparator" w:id="0">
    <w:p w:rsidR="00FA14CE" w:rsidRDefault="00FA14CE" w:rsidP="001F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1" w:rsidRDefault="001F2C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1" w:rsidRDefault="001F2CD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1" w:rsidRDefault="001F2C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256A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A"/>
    <w:rsid w:val="001F2CD1"/>
    <w:rsid w:val="004726AA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ind w:firstLine="270"/>
      <w:textAlignment w:val="baseline"/>
    </w:pPr>
    <w:rPr>
      <w:rFonts w:ascii="NTTierce" w:hAnsi="NTTierce" w:cs="NTTierce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center"/>
      <w:outlineLvl w:val="0"/>
    </w:pPr>
    <w:rPr>
      <w:b/>
      <w:bCs/>
      <w:spacing w:val="20"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ind w:left="2160" w:hanging="720"/>
      <w:jc w:val="center"/>
      <w:outlineLvl w:val="2"/>
    </w:pPr>
    <w:rPr>
      <w:rFonts w:ascii="Times NR Cyr MT" w:hAnsi="Times NR Cyr MT" w:cs="Times NR Cyr MT"/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Автор"/>
    <w:basedOn w:val="a"/>
    <w:next w:val="1"/>
    <w:uiPriority w:val="99"/>
    <w:pPr>
      <w:spacing w:after="240"/>
      <w:ind w:firstLine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4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z w:val="36"/>
      <w:szCs w:val="36"/>
    </w:rPr>
  </w:style>
  <w:style w:type="paragraph" w:styleId="a5">
    <w:name w:val="Subtitle"/>
    <w:basedOn w:val="a"/>
    <w:link w:val="a6"/>
    <w:uiPriority w:val="99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Number"/>
    <w:basedOn w:val="a"/>
    <w:next w:val="a8"/>
    <w:uiPriority w:val="99"/>
    <w:pPr>
      <w:spacing w:before="120"/>
      <w:ind w:left="357" w:hanging="357"/>
    </w:pPr>
  </w:style>
  <w:style w:type="paragraph" w:styleId="a8">
    <w:name w:val="List Continue"/>
    <w:basedOn w:val="a"/>
    <w:uiPriority w:val="99"/>
    <w:pPr>
      <w:ind w:left="357" w:firstLine="272"/>
    </w:pPr>
  </w:style>
  <w:style w:type="paragraph" w:customStyle="1" w:styleId="a9">
    <w:name w:val="Курсив"/>
    <w:basedOn w:val="a"/>
    <w:uiPriority w:val="99"/>
    <w:pPr>
      <w:spacing w:before="120"/>
      <w:ind w:left="284" w:firstLine="567"/>
    </w:pPr>
    <w:rPr>
      <w:i/>
      <w:i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F2C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2CD1"/>
    <w:rPr>
      <w:rFonts w:ascii="NTTierce" w:hAnsi="NTTierce" w:cs="NTTierce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F2C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2CD1"/>
    <w:rPr>
      <w:rFonts w:ascii="NTTierce" w:hAnsi="NTTierce" w:cs="NTTierc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2015-02-06T10:07:00Z</dcterms:created>
  <dcterms:modified xsi:type="dcterms:W3CDTF">2015-02-06T10:07:00Z</dcterms:modified>
</cp:coreProperties>
</file>