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1C" w:rsidRPr="009A101C" w:rsidRDefault="009A101C" w:rsidP="004F5D6F">
      <w:pPr>
        <w:pStyle w:val="Heading1"/>
      </w:pPr>
      <w:r>
        <w:t>На пути к</w:t>
      </w:r>
      <w:bookmarkStart w:id="0" w:name="_GoBack"/>
      <w:bookmarkEnd w:id="0"/>
      <w:r>
        <w:t xml:space="preserve"> искоренению насилия по отношению к женщинам и девочкам</w:t>
      </w:r>
    </w:p>
    <w:p w:rsidR="00BA42E6" w:rsidRPr="009A101C" w:rsidRDefault="00BA42E6" w:rsidP="00BA42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BA42E6" w:rsidRDefault="00BA42E6" w:rsidP="00BA42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Комиссия по положению женщин</w:t>
      </w:r>
    </w:p>
    <w:p w:rsidR="00BA42E6" w:rsidRDefault="00BA42E6" w:rsidP="00BA42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Пятьдесят седьмая сессия</w:t>
      </w:r>
    </w:p>
    <w:p w:rsidR="00DD6F04" w:rsidRDefault="00DD6F04" w:rsidP="00BA42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:rsidR="00BA42E6" w:rsidRDefault="00BA42E6" w:rsidP="00BA42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4–15 марта 2013 года</w:t>
      </w:r>
    </w:p>
    <w:p w:rsidR="00DD6F04" w:rsidRDefault="00DD6F04" w:rsidP="00BA42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:rsidR="00BA42E6" w:rsidRDefault="00BA42E6" w:rsidP="00DD6F04">
      <w:pPr>
        <w:autoSpaceDE w:val="0"/>
        <w:autoSpaceDN w:val="0"/>
        <w:adjustRightInd w:val="0"/>
        <w:spacing w:after="0" w:line="240" w:lineRule="auto"/>
        <w:ind w:right="4677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Последующая деятельность по итогам четвертой</w:t>
      </w:r>
      <w:r w:rsidR="00DE75E7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Всемирной конференции по положению женщин</w:t>
      </w:r>
      <w:r w:rsidR="00DD6F04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и специальной сессии Генеральной Ассамблеи</w:t>
      </w:r>
      <w:r w:rsidR="00DE75E7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под названием «Женщины в 2000 году: равенство</w:t>
      </w:r>
      <w:r w:rsidR="00DE75E7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между мужчинами и женщинами, развитие и мир</w:t>
      </w:r>
      <w:r w:rsidR="00DE75E7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в XXI веке»: достижение стратегических целей</w:t>
      </w:r>
      <w:r w:rsidR="00DE75E7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и деятельность в важнейших проблемных</w:t>
      </w:r>
      <w:r w:rsidR="00DE75E7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областях и дальнейшие меры и инициативы</w:t>
      </w:r>
    </w:p>
    <w:p w:rsidR="008841D1" w:rsidRDefault="008841D1" w:rsidP="00BA42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</w:p>
    <w:p w:rsidR="00BA42E6" w:rsidRDefault="00BA42E6" w:rsidP="00BA42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kern w:val="0"/>
          <w:sz w:val="28"/>
          <w:szCs w:val="28"/>
        </w:rPr>
        <w:t>Заявление, представленное Международным</w:t>
      </w:r>
      <w:r w:rsidR="00DE75E7">
        <w:rPr>
          <w:rFonts w:ascii="TimesNewRoman,Bold" w:hAnsi="TimesNewRoman,Bold" w:cs="TimesNewRoman,Bold"/>
          <w:b/>
          <w:bCs/>
          <w:kern w:val="0"/>
          <w:sz w:val="28"/>
          <w:szCs w:val="28"/>
        </w:rPr>
        <w:t xml:space="preserve"> </w:t>
      </w:r>
      <w:r>
        <w:rPr>
          <w:rFonts w:ascii="TimesNewRoman,Bold" w:hAnsi="TimesNewRoman,Bold" w:cs="TimesNewRoman,Bold"/>
          <w:b/>
          <w:bCs/>
          <w:kern w:val="0"/>
          <w:sz w:val="28"/>
          <w:szCs w:val="28"/>
        </w:rPr>
        <w:t>бехаистским</w:t>
      </w:r>
      <w:r w:rsidR="008841D1">
        <w:rPr>
          <w:rFonts w:ascii="TimesNewRoman,Bold" w:hAnsi="TimesNewRoman,Bold" w:cs="TimesNewRoman,Bold"/>
          <w:b/>
          <w:bCs/>
          <w:kern w:val="0"/>
          <w:sz w:val="28"/>
          <w:szCs w:val="28"/>
        </w:rPr>
        <w:t xml:space="preserve"> </w:t>
      </w:r>
      <w:r>
        <w:rPr>
          <w:rFonts w:ascii="TimesNewRoman,Bold" w:hAnsi="TimesNewRoman,Bold" w:cs="TimesNewRoman,Bold"/>
          <w:b/>
          <w:bCs/>
          <w:kern w:val="0"/>
          <w:sz w:val="28"/>
          <w:szCs w:val="28"/>
        </w:rPr>
        <w:t>сообществом — неправительственной</w:t>
      </w:r>
      <w:r w:rsidR="00DE75E7">
        <w:rPr>
          <w:rFonts w:ascii="TimesNewRoman,Bold" w:hAnsi="TimesNewRoman,Bold" w:cs="TimesNewRoman,Bold"/>
          <w:b/>
          <w:bCs/>
          <w:kern w:val="0"/>
          <w:sz w:val="28"/>
          <w:szCs w:val="28"/>
        </w:rPr>
        <w:t xml:space="preserve"> </w:t>
      </w:r>
      <w:r>
        <w:rPr>
          <w:rFonts w:ascii="TimesNewRoman,Bold" w:hAnsi="TimesNewRoman,Bold" w:cs="TimesNewRoman,Bold"/>
          <w:b/>
          <w:bCs/>
          <w:kern w:val="0"/>
          <w:sz w:val="28"/>
          <w:szCs w:val="28"/>
        </w:rPr>
        <w:t>организацией, имеющей консультативный статус</w:t>
      </w:r>
      <w:r w:rsidR="00DE75E7">
        <w:rPr>
          <w:rFonts w:ascii="TimesNewRoman,Bold" w:hAnsi="TimesNewRoman,Bold" w:cs="TimesNewRoman,Bold"/>
          <w:b/>
          <w:bCs/>
          <w:kern w:val="0"/>
          <w:sz w:val="28"/>
          <w:szCs w:val="28"/>
        </w:rPr>
        <w:t xml:space="preserve"> </w:t>
      </w:r>
      <w:r>
        <w:rPr>
          <w:rFonts w:ascii="TimesNewRoman,Bold" w:hAnsi="TimesNewRoman,Bold" w:cs="TimesNewRoman,Bold"/>
          <w:b/>
          <w:bCs/>
          <w:kern w:val="0"/>
          <w:sz w:val="28"/>
          <w:szCs w:val="28"/>
        </w:rPr>
        <w:t>при Экономическом и Социальном Совете</w:t>
      </w:r>
    </w:p>
    <w:p w:rsidR="008841D1" w:rsidRDefault="008841D1" w:rsidP="00BA42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8"/>
          <w:szCs w:val="28"/>
        </w:rPr>
      </w:pPr>
    </w:p>
    <w:p w:rsidR="003777BC" w:rsidRDefault="00BA42E6" w:rsidP="00DE75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Генеральный секретарь получил след</w:t>
      </w:r>
      <w:r w:rsidR="00DE75E7">
        <w:rPr>
          <w:rFonts w:ascii="TimesNewRoman" w:hAnsi="TimesNewRoman" w:cs="TimesNewRoman"/>
          <w:kern w:val="0"/>
          <w:sz w:val="20"/>
          <w:szCs w:val="20"/>
        </w:rPr>
        <w:t>ующее заявление, которое распро</w:t>
      </w:r>
      <w:r>
        <w:rPr>
          <w:rFonts w:ascii="TimesNewRoman" w:hAnsi="TimesNewRoman" w:cs="TimesNewRoman"/>
          <w:kern w:val="0"/>
          <w:sz w:val="20"/>
          <w:szCs w:val="20"/>
        </w:rPr>
        <w:t>страняется в соответствии с пунктами 36 и</w:t>
      </w:r>
      <w:r w:rsidR="00DE75E7">
        <w:rPr>
          <w:rFonts w:ascii="TimesNewRoman" w:hAnsi="TimesNewRoman" w:cs="TimesNewRoman"/>
          <w:kern w:val="0"/>
          <w:sz w:val="20"/>
          <w:szCs w:val="20"/>
        </w:rPr>
        <w:t xml:space="preserve"> 37 резолюции 1996/31 Экономиче</w:t>
      </w:r>
      <w:r>
        <w:rPr>
          <w:rFonts w:ascii="TimesNewRoman" w:hAnsi="TimesNewRoman" w:cs="TimesNewRoman"/>
          <w:kern w:val="0"/>
          <w:sz w:val="20"/>
          <w:szCs w:val="20"/>
        </w:rPr>
        <w:t>ского и Социального Совета.</w:t>
      </w:r>
    </w:p>
    <w:p w:rsidR="00BA42E6" w:rsidRDefault="00BA42E6" w:rsidP="00BA42E6">
      <w:pPr>
        <w:rPr>
          <w:rFonts w:ascii="TimesNewRoman" w:hAnsi="TimesNewRoman" w:cs="TimesNewRoman"/>
          <w:kern w:val="0"/>
          <w:sz w:val="20"/>
          <w:szCs w:val="20"/>
        </w:rPr>
      </w:pPr>
    </w:p>
    <w:p w:rsidR="00DD6F04" w:rsidRDefault="00DD6F04" w:rsidP="00BA42E6">
      <w:pPr>
        <w:rPr>
          <w:rFonts w:ascii="TimesNewRoman" w:hAnsi="TimesNewRoman" w:cs="TimesNewRoman"/>
          <w:kern w:val="0"/>
          <w:sz w:val="20"/>
          <w:szCs w:val="20"/>
        </w:rPr>
      </w:pPr>
    </w:p>
    <w:p w:rsidR="00BA42E6" w:rsidRDefault="00BA42E6" w:rsidP="00BA42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Заявление</w:t>
      </w:r>
    </w:p>
    <w:p w:rsidR="00DD6F04" w:rsidRDefault="00DD6F04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</w:p>
    <w:p w:rsidR="00BA42E6" w:rsidRPr="00DD6F04" w:rsidRDefault="00BA42E6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  <w:r w:rsidRPr="00DD6F04">
        <w:rPr>
          <w:rFonts w:ascii="TimesNewRoman" w:hAnsi="TimesNewRoman" w:cs="TimesNewRoman"/>
          <w:kern w:val="0"/>
          <w:sz w:val="24"/>
          <w:szCs w:val="20"/>
        </w:rPr>
        <w:t>Проблема эпидемии насилия и дискриминации не в первый раз стоит на</w:t>
      </w:r>
      <w:r w:rsidR="00DE75E7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глобальной повестке дня. Усилия правительства, общественных организаций и</w:t>
      </w:r>
      <w:r w:rsidR="00DE75E7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отдельных лиц на местном, национальном и международном уровнях привели</w:t>
      </w:r>
      <w:r w:rsidR="00DE75E7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к разработке правовой и институциональной базы для защиты прав женщин и</w:t>
      </w:r>
      <w:r w:rsidR="00DE75E7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привлекли внимание к культуре безнаказанности, которая допускает терпимое</w:t>
      </w:r>
      <w:r w:rsidR="00DE75E7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отношение к насилию в отношении женщин и даже оправдывает его.</w:t>
      </w:r>
    </w:p>
    <w:p w:rsidR="008841D1" w:rsidRPr="00DD6F04" w:rsidRDefault="008841D1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</w:p>
    <w:p w:rsidR="00BA42E6" w:rsidRPr="00DD6F04" w:rsidRDefault="00BA42E6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  <w:r w:rsidRPr="00DD6F04">
        <w:rPr>
          <w:rFonts w:ascii="TimesNewRoman" w:hAnsi="TimesNewRoman" w:cs="TimesNewRoman"/>
          <w:kern w:val="0"/>
          <w:sz w:val="24"/>
          <w:szCs w:val="20"/>
        </w:rPr>
        <w:t>Женщины и девочки по всему миру принадлежат к культуре, которая порождает насилие в отношении женщин и поддерживает его существование. Это</w:t>
      </w:r>
      <w:r w:rsidR="00DE75E7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влияет не только на женщин и девочек — в конечном счете, подобное насилие — это агрессия по отношению к обществу в целом. Как таковое, искоренение насилия требует изменений не только в области законодательства и политики, но и коренных перемен на уровне культуры, отношения к насилию и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убеждений. Подобные изменения должны основываться на убеждении, что равенство мужчин и женщин — это не только цель, которую необходимо достичь,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но и истинная суть человеческой природы, которую надо осознать и принять. У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души нет пола. Сама суть каждого человека не может быть «мужского» или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«женского» пола. Зарождаясь на этом уровне, равенство простирается за пределы имеющихся ресурсов и набора социальных норм. Это благородство, присущее каждому человеку.</w:t>
      </w:r>
    </w:p>
    <w:p w:rsidR="008841D1" w:rsidRPr="00DD6F04" w:rsidRDefault="008841D1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</w:p>
    <w:p w:rsidR="00BA42E6" w:rsidRPr="00DD6F04" w:rsidRDefault="00BA42E6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  <w:r w:rsidRPr="00DD6F04">
        <w:rPr>
          <w:rFonts w:ascii="TimesNewRoman" w:hAnsi="TimesNewRoman" w:cs="TimesNewRoman"/>
          <w:kern w:val="0"/>
          <w:sz w:val="24"/>
          <w:szCs w:val="20"/>
        </w:rPr>
        <w:t>При рассмотрении в более широком контексте насилие и дискриминация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в отношении женщин и девочек является одним из признаков социального порядка, для которого характерны конфликты, несправедливость и отсутствие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 xml:space="preserve">безопасности. Структуры и </w:t>
      </w:r>
      <w:r w:rsidRPr="00DD6F04">
        <w:rPr>
          <w:rFonts w:ascii="TimesNewRoman" w:hAnsi="TimesNewRoman" w:cs="TimesNewRoman"/>
          <w:kern w:val="0"/>
          <w:sz w:val="24"/>
          <w:szCs w:val="20"/>
        </w:rPr>
        <w:lastRenderedPageBreak/>
        <w:t>процессы такого социального порядка, ограниченные узким кругом рассматриваемых вопросов, не способны функционировать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во имя общего блага. По мере того, как мы стремимся искоренить насилие в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отношении женщин и девочек, мы не должны упускать из виду более обширную и долгосрочную цель, а именно создание условий, при которых мужчины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и женщины смогут работать бок о бок над созданием более справедливого и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равноправного социального порядка.</w:t>
      </w:r>
    </w:p>
    <w:p w:rsidR="008841D1" w:rsidRPr="00DD6F04" w:rsidRDefault="008841D1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</w:p>
    <w:p w:rsidR="00BA42E6" w:rsidRPr="00DD6F04" w:rsidRDefault="00BA42E6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  <w:r w:rsidRPr="00DD6F04">
        <w:rPr>
          <w:rFonts w:ascii="TimesNewRoman" w:hAnsi="TimesNewRoman" w:cs="TimesNewRoman"/>
          <w:kern w:val="0"/>
          <w:sz w:val="24"/>
          <w:szCs w:val="20"/>
        </w:rPr>
        <w:t>Мы предлагаем на рассмотрение Комиссии следующие рекомендации.</w:t>
      </w:r>
    </w:p>
    <w:p w:rsidR="008841D1" w:rsidRPr="00DD6F04" w:rsidRDefault="008841D1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</w:p>
    <w:p w:rsidR="00BA42E6" w:rsidRPr="00DD6F04" w:rsidRDefault="00BA42E6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  <w:r w:rsidRPr="00DD6F04">
        <w:rPr>
          <w:rFonts w:ascii="TimesNewRoman" w:hAnsi="TimesNewRoman" w:cs="TimesNewRoman"/>
          <w:kern w:val="0"/>
          <w:sz w:val="24"/>
          <w:szCs w:val="20"/>
        </w:rPr>
        <w:t>Необходимо пересмотреть преобладающие представления о правах и возможностях и их расширении. «Углубленное исследование, посвященное всем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формам насилия в отношении женщин» от 2006 года показало, что «структурный дисбаланс сил и неравенство мужчин и женщин — контекст и причины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насилия в отношении женщин» (A/61/122/Add.1 и Corr.1, пункт 56). И все же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одного установления баланса сил недостаточно. Необходимо серьезно пересмотреть саму концепцию власти и внести в нее коренные изменения. В центре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самых распространенных представлений о власти лежит способность эффективно конкурировать, занимать доминирующее положение и господствовать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над другими. Эти, по сути, враждебные проявления власти не предоставляют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обществу инструменты, необходимые для создания институтов и процессов,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которые способствовали бы прогрессу всех членов общины. Превалирующее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представление о власти как «власти над кем-то» необходимо заменить на концепцию «власть для чего-то», власть, как потенциал субъекта или коллектива.</w:t>
      </w:r>
    </w:p>
    <w:p w:rsidR="00BA42E6" w:rsidRPr="00DD6F04" w:rsidRDefault="00BA42E6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  <w:r w:rsidRPr="00DD6F04">
        <w:rPr>
          <w:rFonts w:ascii="TimesNewRoman" w:hAnsi="TimesNewRoman" w:cs="TimesNewRoman"/>
          <w:kern w:val="0"/>
          <w:sz w:val="24"/>
          <w:szCs w:val="20"/>
        </w:rPr>
        <w:t>Необходимо расширить наше представление об имеющихся у человечества источниках власти, таких как власть на основе солидарности и общей озабоченности и власть на основе единства мыслей и действий, и поощрять такие качества, как справедливость, честность и целостность.</w:t>
      </w:r>
    </w:p>
    <w:p w:rsidR="008841D1" w:rsidRPr="00DD6F04" w:rsidRDefault="008841D1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</w:p>
    <w:p w:rsidR="00BA42E6" w:rsidRPr="00DD6F04" w:rsidRDefault="00BA42E6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  <w:r w:rsidRPr="00DD6F04">
        <w:rPr>
          <w:rFonts w:ascii="TimesNewRoman" w:hAnsi="TimesNewRoman" w:cs="TimesNewRoman"/>
          <w:kern w:val="0"/>
          <w:sz w:val="24"/>
          <w:szCs w:val="20"/>
        </w:rPr>
        <w:t>Комиссия неоднократно отмечала, что расширение прав и возможностей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женщин и девочек является ключом к защите их прав и прекращению насилия.</w:t>
      </w:r>
      <w:r w:rsidR="008841D1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Расширение прав и возможностей — это процесс признания прав, наращивания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потенциала и действий. По мере того, как отдельные лица осознают присущую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им с рождения ценность и фундаментальное равенство всех людей и их способность улучшить качество своей жизни и жизни общества в целом, происходит расширение прав и возможностей каждого человека в отдельности. На коллективном уровне расширение прав и возможностей включает в себя преобразование отношений доминирования в отношения равенства и взаимопомощи.</w:t>
      </w:r>
    </w:p>
    <w:p w:rsidR="008841D1" w:rsidRPr="00DD6F04" w:rsidRDefault="008841D1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</w:p>
    <w:p w:rsidR="00BA42E6" w:rsidRPr="00DD6F04" w:rsidRDefault="00BA42E6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  <w:r w:rsidRPr="00DD6F04">
        <w:rPr>
          <w:rFonts w:ascii="TimesNewRoman" w:hAnsi="TimesNewRoman" w:cs="TimesNewRoman"/>
          <w:kern w:val="0"/>
          <w:sz w:val="24"/>
          <w:szCs w:val="20"/>
        </w:rPr>
        <w:t>Роль мужчин в решении проблемы насилия и эксплуатации была признана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ключевым аспектом в деле предупреждения этих явлений. Необходимо поощрять стремление мужчин и мальчиков выступать против насилия и эксплуатации, а также отказаться от защиты виновных в подобных деяниях. Они должны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прилагать осознанные усилия с целью полностью понять принцип равенства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женщин и мужчин и его проявления как в частной, так и в общественной жизни. Мужчинам необходимо осознать свою роль в создании здоровых семейных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отношений, а также уважать членов семьи как мужского, так и женского пола.</w:t>
      </w:r>
      <w:r w:rsidR="008841D1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Зачастую мальчики и девочки впервые узнают о природе власти и формах ее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проявления именно в семье. Искаженные формы проявления власти и полномочий воспитывают в детях модель восприятия и привычки, которые переносятся на рабочее место, в общину и в общественную жизнь.</w:t>
      </w:r>
    </w:p>
    <w:p w:rsidR="008841D1" w:rsidRPr="00DD6F04" w:rsidRDefault="008841D1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</w:p>
    <w:p w:rsidR="00BA42E6" w:rsidRPr="00DD6F04" w:rsidRDefault="00BA42E6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  <w:r w:rsidRPr="00DD6F04">
        <w:rPr>
          <w:rFonts w:ascii="TimesNewRoman" w:hAnsi="TimesNewRoman" w:cs="TimesNewRoman"/>
          <w:kern w:val="0"/>
          <w:sz w:val="24"/>
          <w:szCs w:val="20"/>
        </w:rPr>
        <w:t>Международное сообщество и государство должны переключиться с подхода, суть которого состоит в реагировании на насилие, к подходу предупреждения насилия. Предупреждение насилия должно начинаться с определения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 xml:space="preserve">причин насилия, нежели </w:t>
      </w:r>
      <w:r w:rsidRPr="00DD6F04">
        <w:rPr>
          <w:rFonts w:ascii="TimesNewRoman" w:hAnsi="TimesNewRoman" w:cs="TimesNewRoman"/>
          <w:kern w:val="0"/>
          <w:sz w:val="24"/>
          <w:szCs w:val="20"/>
        </w:rPr>
        <w:lastRenderedPageBreak/>
        <w:t>его признаков, и устранения этих причин. При осуществлении усилий по предупреждению насилия необходимо принимать во внимание преобладающие концепции гендерной принадлежности и власти и все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формы дискриминации и негативные аспекты, которые становятся причиной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возникновения риска совершения актов насилия в отношении женщин и девочек. В то время, как государства выступили с инициативой проведения различных программ по предупреждению насилия, осуществлению подобных программ мешает недостаточный уровень преобразований в обществе в целом.</w:t>
      </w:r>
      <w:r w:rsidR="008841D1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Подобные преобразования включают в себя перемены на уровне отношения к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насилию, культуры и жизни сообщества, а также перемены на уровне структур,</w:t>
      </w:r>
      <w:r w:rsidR="00DE75E7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которые поддерживают насилие и эксплуатацию и считают их нормой. На сегодняшний день деятельность по предупреждению проводится в основном общественными организациями с ограниченными ресурсами. Государствам необходимо взять на себя большую долю ответственности за осуществление стратегий и программ, которые необходимы для подобных преобразований, а также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поддерживать инициативы гражданского общества. Кроме того, необходимо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активизировать исследовательскую работу для определения стратегий по предупреждению насилия в отношении женщин и девочек в государствах с нестабильной ситуацией, а также в государствах, где проходит конфликт или идет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постконфликтное восстановление.</w:t>
      </w:r>
    </w:p>
    <w:p w:rsidR="008841D1" w:rsidRPr="00DD6F04" w:rsidRDefault="008841D1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</w:p>
    <w:p w:rsidR="00BA42E6" w:rsidRPr="00DD6F04" w:rsidRDefault="00BA42E6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  <w:r w:rsidRPr="00DD6F04">
        <w:rPr>
          <w:rFonts w:ascii="TimesNewRoman" w:hAnsi="TimesNewRoman" w:cs="TimesNewRoman"/>
          <w:kern w:val="0"/>
          <w:sz w:val="24"/>
          <w:szCs w:val="20"/>
        </w:rPr>
        <w:t>Один из путей преобразования общества лежит через образование и подготовку детей и молодежи, нацеленных на в</w:t>
      </w:r>
      <w:r w:rsidR="008841D1" w:rsidRPr="00DD6F04">
        <w:rPr>
          <w:rFonts w:ascii="TimesNewRoman" w:hAnsi="TimesNewRoman" w:cs="TimesNewRoman"/>
          <w:kern w:val="0"/>
          <w:sz w:val="24"/>
          <w:szCs w:val="20"/>
        </w:rPr>
        <w:t>оспитание в них чувства достоин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ства, а также ответственности за благополучие членов их семей и сообщества в</w:t>
      </w:r>
      <w:r w:rsidR="00DE75E7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более широком смысле. Основываясь на опыте Международного бехаистского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сообщества в деле поощрения преобразований в обществе, мы отмечаем ряд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элементов образовательной деятельности, которые способствуют подобным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преобразованиям: убеждение, что залог счастья и честности лежит в целостности личности; способность действовать с нравственным мужеством; способность принимать участие в мирном процессе принятия решений; примеры передового опыта в сфере производственных навыков для удовлетворения потребностей достойным образом; способность анализировать социальные условия и понимать силы, которые их формируют; способность красноречиво и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мудро выражать собственные идеи; способность побуждать к сотрудничеству;</w:t>
      </w:r>
      <w:r w:rsidR="008841D1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а также акцент на работе на благо сообщества. В то время, как основное внимание необходимо уделять вопросу доступа девочек к качественному образованию, нельзя оставлять без внимания и вопрос образования мальчиков, в частности по вопросам гендерного равенства.</w:t>
      </w:r>
    </w:p>
    <w:p w:rsidR="008841D1" w:rsidRPr="00DD6F04" w:rsidRDefault="008841D1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</w:p>
    <w:p w:rsidR="00BA42E6" w:rsidRPr="00DD6F04" w:rsidRDefault="00BA42E6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  <w:r w:rsidRPr="00DD6F04">
        <w:rPr>
          <w:rFonts w:ascii="TimesNewRoman" w:hAnsi="TimesNewRoman" w:cs="TimesNewRoman"/>
          <w:kern w:val="0"/>
          <w:sz w:val="24"/>
          <w:szCs w:val="20"/>
        </w:rPr>
        <w:t>Нельзя допускать, чтобы какие бы то ни было обычаи, традиции или религиозные толкования, оправдывающие любую форму насилия в отношении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женщин и девочек, превалировали над обязанностью искоренять насилие в отношении женщин и девочек. Печальный опыт использования культурных и религиозных традиций в качестве предлога для терпимого отношения к насилию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в отношении женщин закрепляет культуру безнаказанности на юридическом и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нравственном уровне. Ответственность государств по защите женщин и девочек от насилия должна быть важнее подобных обычаев. Духовные лидеры, которые играют важную роль в процессе формирования отношения и убеждений,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также должны однозначно поддержать принцип равенства мужчин и женщин.</w:t>
      </w:r>
      <w:r w:rsid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Необходимо положить конец различным видам практик и доктринам, призывающим к терпимому отношению к насилию и поощряющим его. Нельзя также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забывать, что во всех религиях женщины играют важную роль. Слишком часто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по причине незнания, недостаточного образования или отсутствия возможности быть услышанными женщины не могут внести свой вклад в определение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 xml:space="preserve">сути религии, </w:t>
      </w:r>
      <w:r w:rsidRPr="00DD6F04">
        <w:rPr>
          <w:rFonts w:ascii="TimesNewRoman" w:hAnsi="TimesNewRoman" w:cs="TimesNewRoman"/>
          <w:kern w:val="0"/>
          <w:sz w:val="24"/>
          <w:szCs w:val="20"/>
        </w:rPr>
        <w:lastRenderedPageBreak/>
        <w:t>кроме того, нет упоминаний о том, как религиозные учения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влияют на общественную и личную жизнь с точки зрения женщин.</w:t>
      </w:r>
      <w:r w:rsidR="008841D1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</w:p>
    <w:p w:rsidR="008841D1" w:rsidRPr="00DD6F04" w:rsidRDefault="008841D1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</w:p>
    <w:p w:rsidR="00BA42E6" w:rsidRPr="00DD6F04" w:rsidRDefault="00BA42E6" w:rsidP="00DD6F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0"/>
        </w:rPr>
      </w:pPr>
      <w:r w:rsidRPr="00DD6F04">
        <w:rPr>
          <w:rFonts w:ascii="TimesNewRoman" w:hAnsi="TimesNewRoman" w:cs="TimesNewRoman"/>
          <w:kern w:val="0"/>
          <w:sz w:val="24"/>
          <w:szCs w:val="20"/>
        </w:rPr>
        <w:t>Государствам необходимо принять всеобъемлющие меры для искоренения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культуры безнаказанности. Каждая женщина в отдельности, ее семья и ее община находятся под защитой государства. Однако культура безнаказанности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сохраняется во многих областях; виновные в совершении актов насилия в отношении женщин и девочек и их эксплуатации остаются безнаказанными (либо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их наказание не соответствует вине). Зачастую в распоряжении пострадавших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от подобного насилия имеется ограниченный набор средств защиты и доступ к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услугам помощи и поддержки, либо таковые отсутствуют полностью. Необходимо прилагать больше усилий для предупреждения насилия в отношении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женщин и девочек и их эксплуатации. Слишком часто, к примеру, для реализации законов по защите женщин выделяются недостаточные средства, а специализированные услуги для пострадавших от насилия полностью отсутствуют.</w:t>
      </w:r>
      <w:r w:rsidR="008841D1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Нередко в случае совершения актов насилия и жестокого обращения цепочка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виновных весьма длинная, а оказываемое на жертву давление, чтобы она хранила молчание, слишком велико. Наказание виновных необходимо сопровождать мерами обеспечения безопасности пострадавших от насилия, которым</w:t>
      </w:r>
      <w:r w:rsidR="006E493A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очень часто требуется защита от мести. Вкл</w:t>
      </w:r>
      <w:r w:rsidR="008841D1" w:rsidRPr="00DD6F04">
        <w:rPr>
          <w:rFonts w:ascii="TimesNewRoman" w:hAnsi="TimesNewRoman" w:cs="TimesNewRoman"/>
          <w:kern w:val="0"/>
          <w:sz w:val="24"/>
          <w:szCs w:val="20"/>
        </w:rPr>
        <w:t>ючение в национальные планы дан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ных в резолюциях Совета Безопасности обязательств в сфере, касающейся</w:t>
      </w:r>
      <w:r w:rsidR="001E1D94" w:rsidRPr="00DD6F04">
        <w:rPr>
          <w:rFonts w:ascii="TimesNewRoman" w:hAnsi="TimesNewRoman" w:cs="TimesNewRoman"/>
          <w:kern w:val="0"/>
          <w:sz w:val="24"/>
          <w:szCs w:val="20"/>
        </w:rPr>
        <w:t xml:space="preserve"> </w:t>
      </w:r>
      <w:r w:rsidRPr="00DD6F04">
        <w:rPr>
          <w:rFonts w:ascii="TimesNewRoman" w:hAnsi="TimesNewRoman" w:cs="TimesNewRoman"/>
          <w:kern w:val="0"/>
          <w:sz w:val="24"/>
          <w:szCs w:val="20"/>
        </w:rPr>
        <w:t>женщин, мира и безопасности, также является позитивным шагом в этом направлении.</w:t>
      </w:r>
    </w:p>
    <w:p w:rsidR="00DD6F04" w:rsidRDefault="00DD6F04" w:rsidP="006E49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:rsidR="00DD6F04" w:rsidRDefault="00DD6F04" w:rsidP="006E49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:rsidR="00DD6F04" w:rsidRDefault="00DD6F04" w:rsidP="006E49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:rsidR="00DD6F04" w:rsidRDefault="00DD6F04" w:rsidP="006E49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:rsidR="00DD6F04" w:rsidRPr="00DD6F04" w:rsidRDefault="00DD6F04" w:rsidP="00DD6F04">
      <w:pPr>
        <w:pStyle w:val="NoSpacing"/>
        <w:rPr>
          <w:sz w:val="16"/>
          <w:lang w:eastAsia="ru-RU"/>
        </w:rPr>
      </w:pPr>
      <w:r w:rsidRPr="00DD6F04">
        <w:rPr>
          <w:sz w:val="16"/>
          <w:lang w:eastAsia="ru-RU"/>
        </w:rPr>
        <w:t>Заявление распространено 29 ноября 2012. Документ ООН: E/CN.6/2013/NGO/75</w:t>
      </w:r>
    </w:p>
    <w:p w:rsidR="00DD6F04" w:rsidRPr="00DD6F04" w:rsidRDefault="00DD6F04" w:rsidP="00DD6F04">
      <w:pPr>
        <w:pStyle w:val="NoSpacing"/>
        <w:rPr>
          <w:sz w:val="16"/>
          <w:lang w:val="en-US" w:eastAsia="ru-RU"/>
        </w:rPr>
      </w:pPr>
      <w:r w:rsidRPr="00DD6F04">
        <w:rPr>
          <w:sz w:val="16"/>
          <w:lang w:eastAsia="ru-RU"/>
        </w:rPr>
        <w:t>Заявление</w:t>
      </w:r>
      <w:r w:rsidRPr="00DD6F04">
        <w:rPr>
          <w:sz w:val="16"/>
          <w:lang w:val="en-US" w:eastAsia="ru-RU"/>
        </w:rPr>
        <w:t xml:space="preserve"> </w:t>
      </w:r>
      <w:r w:rsidRPr="00DD6F04">
        <w:rPr>
          <w:sz w:val="16"/>
          <w:lang w:eastAsia="ru-RU"/>
        </w:rPr>
        <w:t>подано</w:t>
      </w:r>
      <w:r w:rsidRPr="00DD6F04">
        <w:rPr>
          <w:sz w:val="16"/>
          <w:lang w:val="en-US" w:eastAsia="ru-RU"/>
        </w:rPr>
        <w:t xml:space="preserve"> </w:t>
      </w:r>
      <w:r w:rsidRPr="00DD6F04">
        <w:rPr>
          <w:sz w:val="16"/>
          <w:lang w:eastAsia="ru-RU"/>
        </w:rPr>
        <w:t>МСБ</w:t>
      </w:r>
      <w:r w:rsidRPr="00DD6F04">
        <w:rPr>
          <w:sz w:val="16"/>
          <w:lang w:val="en-US" w:eastAsia="ru-RU"/>
        </w:rPr>
        <w:t xml:space="preserve"> 15 </w:t>
      </w:r>
      <w:r w:rsidRPr="00DD6F04">
        <w:rPr>
          <w:sz w:val="16"/>
          <w:lang w:eastAsia="ru-RU"/>
        </w:rPr>
        <w:t>ноября</w:t>
      </w:r>
      <w:r w:rsidRPr="00DD6F04">
        <w:rPr>
          <w:sz w:val="16"/>
          <w:lang w:val="en-US" w:eastAsia="ru-RU"/>
        </w:rPr>
        <w:t xml:space="preserve"> 2012. </w:t>
      </w:r>
      <w:r w:rsidRPr="00DD6F04">
        <w:rPr>
          <w:sz w:val="16"/>
          <w:lang w:eastAsia="ru-RU"/>
        </w:rPr>
        <w:t>Документ</w:t>
      </w:r>
      <w:r w:rsidRPr="00DD6F04">
        <w:rPr>
          <w:sz w:val="16"/>
          <w:lang w:val="en-US" w:eastAsia="ru-RU"/>
        </w:rPr>
        <w:t xml:space="preserve"> </w:t>
      </w:r>
      <w:r w:rsidRPr="00DD6F04">
        <w:rPr>
          <w:sz w:val="16"/>
          <w:lang w:eastAsia="ru-RU"/>
        </w:rPr>
        <w:t>МСБ</w:t>
      </w:r>
      <w:r w:rsidRPr="00DD6F04">
        <w:rPr>
          <w:sz w:val="16"/>
          <w:lang w:val="en-US" w:eastAsia="ru-RU"/>
        </w:rPr>
        <w:t xml:space="preserve"> 12-1115.2 Towards the Eradication of Violence Against Women and Girls</w:t>
      </w:r>
    </w:p>
    <w:p w:rsidR="00DD6F04" w:rsidRPr="00DD6F04" w:rsidRDefault="00DD6F04" w:rsidP="006E493A">
      <w:pPr>
        <w:autoSpaceDE w:val="0"/>
        <w:autoSpaceDN w:val="0"/>
        <w:adjustRightInd w:val="0"/>
        <w:spacing w:after="0" w:line="240" w:lineRule="auto"/>
        <w:rPr>
          <w:sz w:val="20"/>
          <w:lang w:val="en-US"/>
        </w:rPr>
      </w:pPr>
    </w:p>
    <w:sectPr w:rsidR="00DD6F04" w:rsidRPr="00DD6F04" w:rsidSect="00DE75E7">
      <w:footerReference w:type="default" r:id="rId6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FB" w:rsidRDefault="007100FB" w:rsidP="00DD6F04">
      <w:pPr>
        <w:spacing w:after="0" w:line="240" w:lineRule="auto"/>
      </w:pPr>
      <w:r>
        <w:separator/>
      </w:r>
    </w:p>
  </w:endnote>
  <w:endnote w:type="continuationSeparator" w:id="0">
    <w:p w:rsidR="007100FB" w:rsidRDefault="007100FB" w:rsidP="00DD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013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F04" w:rsidRDefault="00DD6F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3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6F04" w:rsidRDefault="00DD6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FB" w:rsidRDefault="007100FB" w:rsidP="00DD6F04">
      <w:pPr>
        <w:spacing w:after="0" w:line="240" w:lineRule="auto"/>
      </w:pPr>
      <w:r>
        <w:separator/>
      </w:r>
    </w:p>
  </w:footnote>
  <w:footnote w:type="continuationSeparator" w:id="0">
    <w:p w:rsidR="007100FB" w:rsidRDefault="007100FB" w:rsidP="00DD6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E6"/>
    <w:rsid w:val="001E1D94"/>
    <w:rsid w:val="003777BC"/>
    <w:rsid w:val="004F5D6F"/>
    <w:rsid w:val="006E493A"/>
    <w:rsid w:val="007100FB"/>
    <w:rsid w:val="008841D1"/>
    <w:rsid w:val="009A101C"/>
    <w:rsid w:val="00BA42E6"/>
    <w:rsid w:val="00D22364"/>
    <w:rsid w:val="00DD6F04"/>
    <w:rsid w:val="00D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F0BE1-BF6F-49FD-A90F-B5E367AF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42E6"/>
    <w:pPr>
      <w:spacing w:before="180" w:after="180" w:line="264" w:lineRule="atLeast"/>
      <w:outlineLvl w:val="0"/>
    </w:pPr>
    <w:rPr>
      <w:rFonts w:ascii="Georgia" w:eastAsia="Times New Roman" w:hAnsi="Georgia" w:cs="Times New Roman"/>
      <w:b/>
      <w:bCs/>
      <w:color w:val="443729"/>
      <w:kern w:val="36"/>
      <w:sz w:val="34"/>
      <w:szCs w:val="34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display-single3">
    <w:name w:val="date-display-single3"/>
    <w:basedOn w:val="DefaultParagraphFont"/>
    <w:rsid w:val="00BA42E6"/>
  </w:style>
  <w:style w:type="character" w:customStyle="1" w:styleId="views-label">
    <w:name w:val="views-label"/>
    <w:basedOn w:val="DefaultParagraphFont"/>
    <w:rsid w:val="00BA42E6"/>
  </w:style>
  <w:style w:type="character" w:customStyle="1" w:styleId="Heading1Char">
    <w:name w:val="Heading 1 Char"/>
    <w:basedOn w:val="DefaultParagraphFont"/>
    <w:link w:val="Heading1"/>
    <w:uiPriority w:val="9"/>
    <w:rsid w:val="00BA42E6"/>
    <w:rPr>
      <w:rFonts w:ascii="Georgia" w:eastAsia="Times New Roman" w:hAnsi="Georgia" w:cs="Times New Roman"/>
      <w:b/>
      <w:bCs/>
      <w:color w:val="443729"/>
      <w:kern w:val="36"/>
      <w:sz w:val="34"/>
      <w:szCs w:val="34"/>
      <w:lang w:eastAsia="ru-RU"/>
      <w14:ligatures w14:val="none"/>
    </w:rPr>
  </w:style>
  <w:style w:type="character" w:styleId="Hyperlink">
    <w:name w:val="Hyperlink"/>
    <w:basedOn w:val="DefaultParagraphFont"/>
    <w:uiPriority w:val="99"/>
    <w:unhideWhenUsed/>
    <w:rsid w:val="009A10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F04"/>
  </w:style>
  <w:style w:type="paragraph" w:styleId="Footer">
    <w:name w:val="footer"/>
    <w:basedOn w:val="Normal"/>
    <w:link w:val="FooterChar"/>
    <w:uiPriority w:val="99"/>
    <w:unhideWhenUsed/>
    <w:rsid w:val="00DD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04"/>
  </w:style>
  <w:style w:type="paragraph" w:styleId="NoSpacing">
    <w:name w:val="No Spacing"/>
    <w:uiPriority w:val="1"/>
    <w:qFormat/>
    <w:rsid w:val="00DD6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8970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8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8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3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2837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5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1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7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5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1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5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пути к искоренению насилия по отношению к женщинам и девочкам</dc:title>
  <dc:creator>МСБ</dc:creator>
  <cp:lastModifiedBy>Anton</cp:lastModifiedBy>
  <cp:revision>2</cp:revision>
  <dcterms:created xsi:type="dcterms:W3CDTF">2013-03-06T04:51:00Z</dcterms:created>
  <dcterms:modified xsi:type="dcterms:W3CDTF">2013-03-06T04:51:00Z</dcterms:modified>
</cp:coreProperties>
</file>