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08B7">
      <w:pPr>
        <w:pStyle w:val="1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ВСЕМИРНЫЙ ДОМ СПРАВЕДЛИВОСТИ</w:t>
      </w:r>
    </w:p>
    <w:p w:rsidR="00000000" w:rsidRDefault="00C008B7"/>
    <w:p w:rsidR="00000000" w:rsidRDefault="00C008B7"/>
    <w:p w:rsidR="00000000" w:rsidRDefault="00C008B7"/>
    <w:p w:rsidR="00000000" w:rsidRDefault="00C008B7">
      <w:pPr>
        <w:jc w:val="right"/>
      </w:pPr>
      <w:r>
        <w:t>28 декабря 2005 года</w:t>
      </w:r>
    </w:p>
    <w:p w:rsidR="00000000" w:rsidRDefault="00C008B7">
      <w:pPr>
        <w:jc w:val="right"/>
      </w:pPr>
    </w:p>
    <w:p w:rsidR="00000000" w:rsidRDefault="00C008B7">
      <w:pPr>
        <w:jc w:val="right"/>
      </w:pPr>
    </w:p>
    <w:p w:rsidR="00000000" w:rsidRDefault="00C008B7"/>
    <w:p w:rsidR="00000000" w:rsidRDefault="00C008B7">
      <w:r>
        <w:t>Всем Национальным Духовным Собраниям</w:t>
      </w:r>
    </w:p>
    <w:p w:rsidR="00000000" w:rsidRDefault="00C008B7"/>
    <w:p w:rsidR="00000000" w:rsidRDefault="00C008B7"/>
    <w:p w:rsidR="00000000" w:rsidRDefault="00C008B7"/>
    <w:p w:rsidR="00000000" w:rsidRDefault="00C008B7">
      <w:r>
        <w:t xml:space="preserve">Дорогие друзья </w:t>
      </w:r>
      <w:proofErr w:type="spellStart"/>
      <w:r>
        <w:t>бахаи</w:t>
      </w:r>
      <w:proofErr w:type="spellEnd"/>
      <w:r>
        <w:t>,</w:t>
      </w:r>
    </w:p>
    <w:p w:rsidR="00000000" w:rsidRDefault="00C008B7"/>
    <w:p w:rsidR="00000000" w:rsidRDefault="00C008B7">
      <w:pPr>
        <w:ind w:firstLine="900"/>
        <w:jc w:val="both"/>
      </w:pPr>
      <w:r>
        <w:t>Ближайшие недели вы посвятите обсуждению следующего Пятилетнего Плана на основе нашего послания от 27 декабря 2005 года Конференции Конти</w:t>
      </w:r>
      <w:r>
        <w:t>нентальных Коллегий Советников. Мы полагаем, что изложенные здесь замечания по поводу учебной программы института по подготовке будут полезны для вашего обсуждения.</w:t>
      </w:r>
    </w:p>
    <w:p w:rsidR="00000000" w:rsidRDefault="00C008B7">
      <w:pPr>
        <w:ind w:firstLine="900"/>
        <w:jc w:val="both"/>
      </w:pPr>
    </w:p>
    <w:p w:rsidR="00000000" w:rsidRDefault="00C008B7">
      <w:pPr>
        <w:ind w:firstLine="900"/>
        <w:jc w:val="both"/>
      </w:pPr>
      <w:r>
        <w:t>Когда в нашем послании от 26 декабря 1995 года мы подчеркивали необходимость формальной пр</w:t>
      </w:r>
      <w:r>
        <w:t xml:space="preserve">ограммы обучения, нам было известно, что определенные элементы, отвечающие необходимым требованиям к такой программе, присутствуют в материалах Института </w:t>
      </w:r>
      <w:proofErr w:type="spellStart"/>
      <w:r>
        <w:t>Рухи</w:t>
      </w:r>
      <w:proofErr w:type="spellEnd"/>
      <w:r>
        <w:t>. Однако, мы были убеждены, что на тот момент не было накоплено достаточно опыта, чтобы рекомендов</w:t>
      </w:r>
      <w:r>
        <w:t>ать к использованию институтами по подготовке по всему миру конкретный набор материалов. Поэтому в самом начале Пятилетнего Плана наши послания и послания, написанные от нашего имени, поощряли Национальные Духовные Собрания и Советников предоставлять инсти</w:t>
      </w:r>
      <w:r>
        <w:t>тутам по подготовке свободу использования любой подходящей, по их мнению, учебной программы. Тем не менее, зная о неминуемых сложностях создания всеобъемлющих программ, мы неоднократно повторяли, что выполнение планов не терпит промедления в принятии учебн</w:t>
      </w:r>
      <w:r>
        <w:t xml:space="preserve">ой программы и следует использовать уже имеющиеся материалы. Наличие таких материалов во всем мире было ограниченным, и Национальные Духовные Собрания и советы институтов начинали адаптировать книги </w:t>
      </w:r>
      <w:proofErr w:type="spellStart"/>
      <w:r>
        <w:t>Рухи</w:t>
      </w:r>
      <w:proofErr w:type="spellEnd"/>
      <w:r>
        <w:t>, как только узнавали о них – чаще всего, от Советник</w:t>
      </w:r>
      <w:r>
        <w:t xml:space="preserve">ов. К концу Четырехлетнего Плана стало очевидным, что национальные общины, которые решительно приступили к внедрению курсов, разработанных Институтом </w:t>
      </w:r>
      <w:proofErr w:type="spellStart"/>
      <w:r>
        <w:t>Рухи</w:t>
      </w:r>
      <w:proofErr w:type="spellEnd"/>
      <w:r>
        <w:t>, заметно опередили тех, кто пытался разработать собственные программы.</w:t>
      </w:r>
    </w:p>
    <w:p w:rsidR="00000000" w:rsidRDefault="00C008B7">
      <w:pPr>
        <w:ind w:firstLine="900"/>
        <w:jc w:val="both"/>
      </w:pPr>
    </w:p>
    <w:p w:rsidR="00000000" w:rsidRDefault="00C008B7">
      <w:pPr>
        <w:ind w:firstLine="900"/>
        <w:jc w:val="both"/>
      </w:pPr>
      <w:r>
        <w:t>Однако именно в период Пятиле</w:t>
      </w:r>
      <w:r>
        <w:t xml:space="preserve">тнего Плана Советники, Национальные Духовные Собрания и советы институтов повсеместно убедились в преимуществах учебных программ Института </w:t>
      </w:r>
      <w:proofErr w:type="spellStart"/>
      <w:r>
        <w:t>Рухи</w:t>
      </w:r>
      <w:proofErr w:type="spellEnd"/>
      <w:r>
        <w:t xml:space="preserve">. Представление седьмой книги основной последовательности </w:t>
      </w:r>
      <w:proofErr w:type="spellStart"/>
      <w:r>
        <w:t>Рухи</w:t>
      </w:r>
      <w:proofErr w:type="spellEnd"/>
      <w:r>
        <w:t xml:space="preserve"> в начале Плана дало многим возможность лучше оцени</w:t>
      </w:r>
      <w:r>
        <w:t>ть тесную связь между прохождением верующих по последовательности курсов и движением кластеров от одной стадии роста к другой. Несомненно, как только прогресс был достигнут в сотнях кластеров, институтам на всех уровнях стало очевидно, что содержание и пор</w:t>
      </w:r>
      <w:r>
        <w:t xml:space="preserve">ядок прохождения основной последовательности готовит друзей к тому служению, которое обусловлено моделью роста для данного кластера. По сути, мы описали динамику этих взаимоотношений в нашем письме от 27 декабря 2005 года. </w:t>
      </w:r>
    </w:p>
    <w:p w:rsidR="00000000" w:rsidRDefault="00C008B7">
      <w:pPr>
        <w:ind w:firstLine="900"/>
        <w:jc w:val="both"/>
      </w:pPr>
    </w:p>
    <w:p w:rsidR="00000000" w:rsidRDefault="00C008B7">
      <w:pPr>
        <w:ind w:firstLine="900"/>
        <w:jc w:val="both"/>
      </w:pPr>
      <w:r>
        <w:t>Недавно мы ознакомились с текущ</w:t>
      </w:r>
      <w:r>
        <w:t xml:space="preserve">ими планами Института </w:t>
      </w:r>
      <w:proofErr w:type="spellStart"/>
      <w:r>
        <w:t>Рухи</w:t>
      </w:r>
      <w:proofErr w:type="spellEnd"/>
      <w:r>
        <w:t xml:space="preserve"> по развитию учебной программы, основанных на международном опыте поддержания широкомасштабного расширения и консолидации. Мы приветствуем решение Института, в </w:t>
      </w:r>
      <w:r>
        <w:lastRenderedPageBreak/>
        <w:t xml:space="preserve">частности, перенести пятую книгу в ряд курсов, ответвляющихся от </w:t>
      </w:r>
      <w:proofErr w:type="spellStart"/>
      <w:r>
        <w:t>Рухи</w:t>
      </w:r>
      <w:proofErr w:type="spellEnd"/>
      <w:r>
        <w:t xml:space="preserve"> </w:t>
      </w:r>
      <w:r>
        <w:t xml:space="preserve">3 для подготовки учителей детских классов, и поставить в качестве пятого курса новую книгу по подготовке вожатых подростковых групп. В равной мере приятно отметить то, что восьмая книга основной последовательности, открывающая серию об аспектах служения в </w:t>
      </w:r>
      <w:r>
        <w:t xml:space="preserve">институтах Дела, будет посвящена такой важнейшей теме, как Завет. Размышляя об этом, мы пришли к выводу, что книги Института </w:t>
      </w:r>
      <w:proofErr w:type="spellStart"/>
      <w:r>
        <w:t>Рухи</w:t>
      </w:r>
      <w:proofErr w:type="spellEnd"/>
      <w:r>
        <w:t xml:space="preserve"> должны стать основной последовательностью курсов повсеместно, хотя бы в последние годы первого столетия Века Становления, когд</w:t>
      </w:r>
      <w:r>
        <w:t xml:space="preserve">а община </w:t>
      </w:r>
      <w:proofErr w:type="spellStart"/>
      <w:r>
        <w:t>бахаи</w:t>
      </w:r>
      <w:proofErr w:type="spellEnd"/>
      <w:r>
        <w:t xml:space="preserve"> будет сосредоточена на продвижении процесса вступления отрядами в рамках </w:t>
      </w:r>
      <w:proofErr w:type="gramStart"/>
      <w:r>
        <w:t>той  деятельности</w:t>
      </w:r>
      <w:proofErr w:type="gramEnd"/>
      <w:r>
        <w:t>, что очерчена в нашем послании от 27 декабря.</w:t>
      </w:r>
    </w:p>
    <w:p w:rsidR="00000000" w:rsidRDefault="00C008B7">
      <w:pPr>
        <w:ind w:firstLine="900"/>
        <w:jc w:val="both"/>
      </w:pPr>
    </w:p>
    <w:p w:rsidR="00000000" w:rsidRDefault="00C008B7">
      <w:pPr>
        <w:ind w:firstLine="900"/>
        <w:jc w:val="both"/>
      </w:pPr>
      <w:r>
        <w:t>Выбор единой учебной программы для повсеместного использования институтами по подготовке на некоторый п</w:t>
      </w:r>
      <w:r>
        <w:t xml:space="preserve">ериод времени не означает пренебрежение к многообразным потребностям и интересам друзей в их стремлении научиться лучше понимать и применять Учение </w:t>
      </w:r>
      <w:proofErr w:type="spellStart"/>
      <w:r>
        <w:t>Бахауллы</w:t>
      </w:r>
      <w:proofErr w:type="spellEnd"/>
      <w:r>
        <w:t>. Этот выбор ни в коей мере не умаляет и ценность усилий по разработке курсов и материалов, что отве</w:t>
      </w:r>
      <w:r>
        <w:t xml:space="preserve">чают указанным потребностям. Также не следует </w:t>
      </w:r>
      <w:r>
        <w:t>думать</w:t>
      </w:r>
      <w:r>
        <w:t>, что одна учебная программа подойдет всем. Тем не менее, данное решение подразумевает, что сегодняшние потребности роста Веры таковы, что в ближайшее годы, институты по подготовке не должны стремиться уд</w:t>
      </w:r>
      <w:r>
        <w:t>овлетворить все потребности и интересы друзей.</w:t>
      </w:r>
    </w:p>
    <w:p w:rsidR="00000000" w:rsidRDefault="00C008B7">
      <w:pPr>
        <w:ind w:firstLine="900"/>
        <w:jc w:val="both"/>
      </w:pPr>
    </w:p>
    <w:p w:rsidR="00000000" w:rsidRDefault="00C008B7">
      <w:pPr>
        <w:ind w:firstLine="900"/>
        <w:jc w:val="both"/>
      </w:pPr>
      <w:r>
        <w:t xml:space="preserve">Институты Веры и далее будут уважать выбор тех, кто по каким-либо причинам не чувствует желания участвовать в изучении книг Института </w:t>
      </w:r>
      <w:proofErr w:type="spellStart"/>
      <w:r>
        <w:t>Рухи</w:t>
      </w:r>
      <w:proofErr w:type="spellEnd"/>
      <w:r>
        <w:t>. Эти не настроенные принимать участие люди должны понять, что существ</w:t>
      </w:r>
      <w:r>
        <w:t xml:space="preserve">ует множество путей служения, открытых для них, включая, прежде всего, личное обучение, являющееся первостепенной обязанностью каждого </w:t>
      </w:r>
      <w:proofErr w:type="spellStart"/>
      <w:r>
        <w:t>бахаи</w:t>
      </w:r>
      <w:proofErr w:type="spellEnd"/>
      <w:r>
        <w:t xml:space="preserve">. Местные занятия по углублению, а также летние и зимние школы, которые остаются важной частью жизни общины </w:t>
      </w:r>
      <w:proofErr w:type="spellStart"/>
      <w:r>
        <w:t>бахаи</w:t>
      </w:r>
      <w:proofErr w:type="spellEnd"/>
      <w:r>
        <w:t>, п</w:t>
      </w:r>
      <w:r>
        <w:t>редоставляют для них широкие возможности углублять свое знание Учения. Мы просим этих друзей, как просили и раньше, чтобы они не позволяли своим личным предпочтениям каким-либо образом препятствовать становлению учебного процесса, который доказал свою спос</w:t>
      </w:r>
      <w:r>
        <w:t xml:space="preserve">обность к вовлечению миллионов людей разного происхождения. Что касается других материалов, которые разрабатывались годами и которые будут еще появляться, они, несомненно, найдут свое место в общине </w:t>
      </w:r>
      <w:proofErr w:type="spellStart"/>
      <w:r>
        <w:t>бахаи</w:t>
      </w:r>
      <w:proofErr w:type="spellEnd"/>
      <w:r>
        <w:t>. Некоторые, например, послужат основой для углублен</w:t>
      </w:r>
      <w:r>
        <w:t xml:space="preserve">ий на местах, в то время как другие после необходимых изменений могут быть включены в отдельные ответвления от основной последовательности Института </w:t>
      </w:r>
      <w:proofErr w:type="spellStart"/>
      <w:r>
        <w:t>Рухи</w:t>
      </w:r>
      <w:proofErr w:type="spellEnd"/>
      <w:r>
        <w:t>.</w:t>
      </w:r>
    </w:p>
    <w:p w:rsidR="00000000" w:rsidRDefault="00C008B7">
      <w:pPr>
        <w:ind w:firstLine="900"/>
        <w:jc w:val="both"/>
      </w:pPr>
    </w:p>
    <w:p w:rsidR="00000000" w:rsidRDefault="00C008B7">
      <w:pPr>
        <w:ind w:firstLine="900"/>
        <w:jc w:val="both"/>
      </w:pPr>
      <w:r>
        <w:t>В этой связи мы чувствуем, что понятие “ответвления курсов” нуждается в отдельном разъяснении. В наш</w:t>
      </w:r>
      <w:r>
        <w:t>ем послании от 9 января 2001 года Конференции Континентальной Коллегии Советников мы отмечали, что основная последовательность курсов можно сравнить со стволом дерева, от которого ответвляются другие курсы, где каждое ответвление относится к отдельному вид</w:t>
      </w:r>
      <w:r>
        <w:t>у деятельности. Ряд материалов о здоровье, разработанных в Африке, хорошо иллюстрирует некоторые особенности таких курсов. После ряда лет обучения работников здравоохранения в общине в конце 80-х – начале 90-х, отдельные институты Веры решили разработать с</w:t>
      </w:r>
      <w:r>
        <w:t>ерию модулей, нацеленных на то, чтобы на местном уровне готовить верующих по целому комплексу вопросов, связанных со здоровьем. Когда был запущен первый модуль в его первоначальной форме, стал набирать силы процесс института по подготовке, и стало очевидны</w:t>
      </w:r>
      <w:r>
        <w:t xml:space="preserve">м, что люди, прошедшие курсы </w:t>
      </w:r>
      <w:proofErr w:type="spellStart"/>
      <w:r>
        <w:t>Рухи</w:t>
      </w:r>
      <w:proofErr w:type="spellEnd"/>
      <w:r>
        <w:t xml:space="preserve"> 1 и 2, лучше подготовлены к тому, чтобы посещать своих друзей и родных и говорить о вопросах здоровья. Модули были изменены таким образом, что они составили ответвление от </w:t>
      </w:r>
      <w:proofErr w:type="spellStart"/>
      <w:r>
        <w:t>Рухи</w:t>
      </w:r>
      <w:proofErr w:type="spellEnd"/>
      <w:r>
        <w:t xml:space="preserve"> 2, которое участники могли изучать параллельн</w:t>
      </w:r>
      <w:r>
        <w:t xml:space="preserve">о с основной последовательностью. Этот пример наглядно </w:t>
      </w:r>
      <w:r>
        <w:t>демонстрирует</w:t>
      </w:r>
      <w:r>
        <w:t xml:space="preserve"> то, что отдельные направления курсов – это не бессвязная подборка материалов, случайным образом вставленная в ту или иную часть основной последовательности. Скорее, для того, чтобы эти ку</w:t>
      </w:r>
      <w:r>
        <w:t xml:space="preserve">рсы возымели должный </w:t>
      </w:r>
      <w:r>
        <w:t>педагогический</w:t>
      </w:r>
      <w:r>
        <w:t xml:space="preserve"> эффект, они должны проистекать из реального </w:t>
      </w:r>
      <w:r>
        <w:lastRenderedPageBreak/>
        <w:t>опыта и придерживаться определенной логики, сами по себе и в контексте общей программы института. Более того, сама концепция ответвлений курсов предполагает, что они осуществля</w:t>
      </w:r>
      <w:r>
        <w:t>ют подготовку в той сфере служения, которая заинтересует лишь некоторых</w:t>
      </w:r>
      <w:r w:rsidR="000E19AA">
        <w:t xml:space="preserve"> друзей, проходящих обучения по</w:t>
      </w:r>
      <w:r>
        <w:t xml:space="preserve"> книгам основной последовательности. Мы надеемся, что разработка таких курсов для удовлетворения особых нужд, проистекающих из особенностей деятельности </w:t>
      </w:r>
      <w:r>
        <w:t xml:space="preserve">на местах, станет естественным следствием усилий расцветающих общин, страстно стремящихся претворить в жизнь Учение </w:t>
      </w:r>
      <w:proofErr w:type="spellStart"/>
      <w:r>
        <w:t>Бахауллы</w:t>
      </w:r>
      <w:proofErr w:type="spellEnd"/>
      <w:r>
        <w:t xml:space="preserve"> и использовать обучающие материалы как средство обобщения опыта и средство, с помощью которого они могут передать свои прозрения вс</w:t>
      </w:r>
      <w:r>
        <w:t>е большему количеству людей.</w:t>
      </w:r>
    </w:p>
    <w:p w:rsidR="00000000" w:rsidRDefault="00C008B7"/>
    <w:p w:rsidR="00000000" w:rsidRDefault="00C008B7"/>
    <w:p w:rsidR="00000000" w:rsidRDefault="00C008B7"/>
    <w:p w:rsidR="00000000" w:rsidRPr="00AD0C64" w:rsidRDefault="00C008B7">
      <w:pPr>
        <w:jc w:val="right"/>
      </w:pPr>
      <w:r w:rsidRPr="00AD0C64">
        <w:t>[</w:t>
      </w:r>
      <w:bookmarkStart w:id="0" w:name="_GoBack"/>
      <w:r>
        <w:t>Всемирный Дом Справедливости</w:t>
      </w:r>
      <w:bookmarkEnd w:id="0"/>
      <w:r w:rsidRPr="00AD0C64">
        <w:t>]</w:t>
      </w:r>
    </w:p>
    <w:p w:rsidR="00000000" w:rsidRDefault="00C008B7"/>
    <w:p w:rsidR="00000000" w:rsidRDefault="00C008B7"/>
    <w:p w:rsidR="00000000" w:rsidRPr="00AD0C64" w:rsidRDefault="00C008B7"/>
    <w:p w:rsidR="00000000" w:rsidRDefault="00C008B7">
      <w:r>
        <w:t>Копия: Деснице Дела Бога д-ру Али-</w:t>
      </w:r>
      <w:r>
        <w:t>Мухаммаду</w:t>
      </w:r>
      <w:r>
        <w:t xml:space="preserve"> Варга</w:t>
      </w:r>
    </w:p>
    <w:p w:rsidR="00000000" w:rsidRDefault="00C008B7">
      <w:r>
        <w:tab/>
        <w:t>Международному Центру по Обучению</w:t>
      </w:r>
    </w:p>
    <w:p w:rsidR="00000000" w:rsidRDefault="00C008B7">
      <w:r>
        <w:tab/>
        <w:t>Коллегиям Советников</w:t>
      </w:r>
    </w:p>
    <w:p w:rsidR="00C008B7" w:rsidRDefault="00C008B7">
      <w:r>
        <w:tab/>
        <w:t>Советникам</w:t>
      </w:r>
    </w:p>
    <w:sectPr w:rsidR="00C008B7" w:rsidSect="00AD0C64"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B7" w:rsidRDefault="00C008B7" w:rsidP="00AD0C64">
      <w:r>
        <w:separator/>
      </w:r>
    </w:p>
  </w:endnote>
  <w:endnote w:type="continuationSeparator" w:id="0">
    <w:p w:rsidR="00C008B7" w:rsidRDefault="00C008B7" w:rsidP="00A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 Mincho Light J">
    <w:altName w:val="MS Mincho"/>
    <w:charset w:val="00"/>
    <w:family w:val="auto"/>
    <w:pitch w:val="variable"/>
  </w:font>
  <w:font w:name="Lucida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386786"/>
      <w:docPartObj>
        <w:docPartGallery w:val="Page Numbers (Bottom of Page)"/>
        <w:docPartUnique/>
      </w:docPartObj>
    </w:sdtPr>
    <w:sdtContent>
      <w:p w:rsidR="00AD0C64" w:rsidRDefault="00AD0C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AA">
          <w:rPr>
            <w:noProof/>
          </w:rPr>
          <w:t>2</w:t>
        </w:r>
        <w:r>
          <w:fldChar w:fldCharType="end"/>
        </w:r>
      </w:p>
    </w:sdtContent>
  </w:sdt>
  <w:p w:rsidR="00AD0C64" w:rsidRDefault="00AD0C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B7" w:rsidRDefault="00C008B7" w:rsidP="00AD0C64">
      <w:r>
        <w:separator/>
      </w:r>
    </w:p>
  </w:footnote>
  <w:footnote w:type="continuationSeparator" w:id="0">
    <w:p w:rsidR="00C008B7" w:rsidRDefault="00C008B7" w:rsidP="00AD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00"/>
    <w:rsid w:val="000E19AA"/>
    <w:rsid w:val="00AA6200"/>
    <w:rsid w:val="00AD0C64"/>
    <w:rsid w:val="00C0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Trebuchet MS" w:eastAsia="HG Mincho Light J" w:hAnsi="Trebuchet MS" w:cs="Lucidasans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Lucidasans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a"/>
    <w:pPr>
      <w:suppressLineNumbers/>
    </w:pPr>
    <w:rPr>
      <w:rFonts w:cs="Lucidasans"/>
    </w:rPr>
  </w:style>
  <w:style w:type="paragraph" w:customStyle="1" w:styleId="WW-Heading">
    <w:name w:val="WW-Heading"/>
    <w:basedOn w:val="a"/>
    <w:next w:val="a3"/>
    <w:pPr>
      <w:keepNext/>
      <w:spacing w:before="240" w:after="120"/>
    </w:pPr>
    <w:rPr>
      <w:rFonts w:ascii="Trebuchet MS" w:eastAsia="HG Mincho Light J" w:hAnsi="Trebuchet MS" w:cs="Lucidasans"/>
      <w:sz w:val="28"/>
      <w:szCs w:val="28"/>
    </w:rPr>
  </w:style>
  <w:style w:type="paragraph" w:customStyle="1" w:styleId="WW-Caption">
    <w:name w:val="WW-Caption"/>
    <w:basedOn w:val="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a"/>
    <w:pPr>
      <w:suppressLineNumbers/>
    </w:pPr>
    <w:rPr>
      <w:rFonts w:cs="Lucidasans"/>
    </w:rPr>
  </w:style>
  <w:style w:type="paragraph" w:customStyle="1" w:styleId="WW-Heading1">
    <w:name w:val="WW-Heading1"/>
    <w:basedOn w:val="a"/>
    <w:next w:val="a3"/>
    <w:pPr>
      <w:keepNext/>
      <w:spacing w:before="240" w:after="120"/>
    </w:pPr>
    <w:rPr>
      <w:rFonts w:ascii="Trebuchet MS" w:eastAsia="HG Mincho Light J" w:hAnsi="Trebuchet MS" w:cs="Lucidasans"/>
      <w:sz w:val="28"/>
      <w:szCs w:val="28"/>
    </w:rPr>
  </w:style>
  <w:style w:type="paragraph" w:customStyle="1" w:styleId="WW-Caption1">
    <w:name w:val="WW-Caption1"/>
    <w:basedOn w:val="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a"/>
    <w:pPr>
      <w:suppressLineNumbers/>
    </w:pPr>
    <w:rPr>
      <w:rFonts w:cs="Lucidasans"/>
    </w:rPr>
  </w:style>
  <w:style w:type="paragraph" w:customStyle="1" w:styleId="WW-0">
    <w:name w:val="WW-Текст выноски"/>
    <w:basedOn w:val="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C64"/>
    <w:rPr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C6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2015-02-21T12:36:00Z</dcterms:created>
  <dcterms:modified xsi:type="dcterms:W3CDTF">2015-02-21T13:02:00Z</dcterms:modified>
</cp:coreProperties>
</file>